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C-3520/2021 vom 14. Juni 2024</w:t>
      </w:r>
    </w:p>
    <w:p>
      <w:r>
        <w:t>Bundesverwaltungsgericht, 2024-06-14, FR</w:t>
      </w:r>
    </w:p>
    <w:p>
      <w:r>
        <w:rPr>
          <w:b/>
        </w:rPr>
        <w:t xml:space="preserve">Quelle: </w:t>
      </w:r>
      <w:r>
        <w:t>https://mcp.opencaselaw.ch/entscheid/bvger_C-3520_2021</w:t>
      </w:r>
    </w:p>
    <w:p>
      <w:r>
        <w:t>FR: TAF C-3520/2021 du 14 juin 2024</w:t>
      </w:r>
    </w:p>
    <w:p>
      <w:r>
        <w:t>IT: TAF C-3520/2021 del 14 giugno 2024</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pces 5 et 8), le recours est recevable.</w:t>
      </w:r>
    </w:p>
    <w:p>
      <w:r>
        <w:rPr>
          <w:b/>
        </w:rPr>
        <w:t>E. 2</w:t>
      </w:r>
    </w:p>
    <w:p>
      <w:r>
        <w:t>Le litige porte sur le bien-fondé de la décision du 19 juillet 2021, par laquelle l'OAIE a reconnu le droit du recourant à un quart de rente d'invalidité à partir du 1er juillet 2020.</w:t>
      </w:r>
    </w:p>
    <w:p>
      <w:r>
        <w:rPr>
          <w:b/>
        </w:rPr>
        <w:t>E. 3</w:t>
      </w:r>
    </w:p>
    <w:p>
      <w:r>
        <w:t>Dans la mesure où le recourant est un ressortissant portugais, domicilié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19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8.3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8.4</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9</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w:t>
      </w:r>
    </w:p>
    <w:p>
      <w:r>
        <w:t>Sur le plan médical, la décision attaquée repose sur l'avis SMR du 20 avril 2021 (OAIE pce 26), établi par le Dr F._______, spécialiste FMH en médecine générale. Il convient dès lors d'examiner la valeur probante dudit rapport SMR, étant rappelé que des exigences strictes prévalent à l'égard des rapports établis par les médecins internes à l'assurance, le moindre doute justifiant un renvoi pour instruction complémentaire (ATF 135 V 465 consid. 4.3 in fine). L'avis SMR du 20 avril 2021 retient, après avoir résumé les rapports médicaux des 3 mars 2020 du Dr G._______ et E213 du 28 octobre 2020 des Drs E._______ et B._______, le diagnostic principal de status après accident le 7 décembre 2018 impliquant la main droite avec : amputation des phalanges distales digitales Ill et IV ; fracture de la phalange moyenne digitale II, ostéosynthèse et retrait du matériel d'ostéosynthèse le 1er février 2019 ; destruction de la phalange distale digitale I. Il ajoute les diagnostics incapacitants de syndrome cervico- et lombospondylogène chronique récidivant sur altérations dégénératives (M47.8), de périarthropathie de l'épaule droite (M75.1) et de gonalgies bilatérales sur altérations dégénératives (M17.0). L'incapacité de travail est selon le médecin du SMR de 30% dans l'activité habituelle depuis le 1er juin 2018, puis totale à partir du 7 décembre 2018. Dans une activité de substitution, l'incapacité de travail est totale à partir du 7 décembre 2018, puis de 30% dès le 1er mai 2019. Comme limitations fonctionnelles, le Dr F._______ retient un horaire de travail de six à sept heures par jour ainsi qu'une position de travail alternée. Une activité adaptée nécessite d'éviter les rotations du tronc, le travail en-dessus de la tête, les mouvements répétitifs, de se pencher, de travailler accroupi à genoux, d'être exposé au froid et aux intempéries, d'être soumis au stress ou à des exigences de rapidité et d'endurance. Compte tenu de difficultés dans les déplacements, il convient d'éviter de monter sur une échelle ou un échafaudage et de marcher sur un terrain irrégulier. Enfin, le médecin du SMR ajoute qu'il doit s'agir d'un emploi qui peut être fait avec la main non dominante et le port de charges est limité à 10 kilos.</w:t>
      </w:r>
    </w:p>
    <w:p>
      <w:r>
        <w:rPr>
          <w:b/>
        </w:rPr>
        <w:t>E. 10.3</w:t>
      </w:r>
    </w:p>
    <w:p>
      <w:r>
        <w:t>Une telle conclusion s'impose d'autant plus que sur le plan somatique, l'appréciation du Dr F._______ entre en totale contradiction avec celles du rapport E213 des Drs E._______ et B._______, daté du 28 octobre 2020, lesquels se sont prononcés - à l'inverse du médecin du SMR - après avoir procédé à un examen clinique sur la personne du recourant. Leur rapport E213 conclut ainsi, à l'inverse du médecin du SMR, à une totale incapacité de travail dans toute activité. Or, le Dr F._______ ne mentionne aucunement que les conclusions de ses confrères portugais s'écartent des siennes concernant la capacité de travail du recourant et, a fortiori, n'explique par conséquent pas les motifs qui ont fondé son appréciation contradictoire. Ce faisant, l'avis SMR se révèle insuffisant compte tenu de la jurisprudence constante du Tribunal fédéral selon laquelle de tels rapports, qui ne se fondent pas sur des examens médicaux effectués sur la personne, sont sensés ne pas poser de nouvelles conclusions médicales et se borner à porter une appréciation sur celles déjà existantes (arrêts du TF 9C_542/2011 du 26 janvier 2012 consid. 4.1 ; 9C_581/2007 du 14 juillet 2008 consid. 3.2 ; 9C_341/2007 du 16 novembre 2007 consid. 4.1), avec pour corollaire, en présence de pièces médicales contradictoires, le devoir de préciser de façon motivée s'il y a lieu de se fonder sur l'une ou l'autre de ces pièces ou s'il y a lieu de procéder à une instruction complémentaire (ATF 142 V 58 consid. 5.1). Enfin, plusieurs autres éléments viennent plaider contre la valeur probante de l'avis du médecin du SMR. Ainsi, celui-ci ne mentionne que deux rapports des médecins traitants, passant sous silence les autres éléments du dossier. De plus, il ne précise pas en détail les diagnostics présentés par le recourant, comme par exemple les résultats de la tomodensitométrie (TAC) de la colonne lombaire du 18 décembre 2013, qui mentionnaient une petite protrusion discale en L3-L4, et des radiographies de la colonne cervicale du 1er juin 2018, qui faisaient état notamment d'une uncarthrose (dont les rapports ne figurent pas au dossier mais le contenu est relaté dans les rapports médicaux des 3 mars 2020 et 2 octobre 2020 du Dr G._______). Il passe en outre sous silence les lombosciatalgies bilatérales attestées par le Dr H._______. En classant apparemment l'ensemble de ces atteintes sous le terme générique de « syndrome cervico- et lombospondylogène chronique récidivant sur altérations dégénératives (M47.8) », le rapport du Dr F._______ manque singulièrement de précision, de sorte qu'il est impossible, pour le Tribunal, de savoir si l'ensemble des atteintes affectant le recourant a bien été pris en considération par le Dr F._______. Au vu de tout ce qui précède, force est de constater que des doutes importants existent à propos des conclusions de l'avis SMR du 20 avril 2021, dont il convient dès lors de nier la valeur probante. Partant, conformément à la jurisprudence constante, une instruction complémentaire se justifie (ATF 135 V 465 consid. 4.3 in fine et consid. 7.3 ci-dessus).</w:t>
      </w:r>
    </w:p>
    <w:p>
      <w:r>
        <w:rPr>
          <w:b/>
        </w:rPr>
        <w:t>E. 11.1</w:t>
      </w:r>
    </w:p>
    <w:p>
      <w:r>
        <w:t>En l'occurrence, après un examen attentif des pièces au dossier, le Tribunal ne peut confirmer la valeur probante de l'avis SMR du 20 avril 2021, lequel se fonde sur un état de fait lacunaire sur le plan médical, omettant plusieurs aspects importants du dossier, aussi bien du point de vue psychique que somatique.</w:t>
      </w:r>
    </w:p>
    <w:p>
      <w:r>
        <w:rPr>
          <w:b/>
        </w:rPr>
        <w:t>E. 11.2</w:t>
      </w:r>
    </w:p>
    <w:p>
      <w:r>
        <w:t>Ainsi, le Tribunal constate que le Dr F._______ passe totalement sous silence les diagnostics posés par les médecins traitants sur le plan psychique - hormis la brève mention d'un trouble de l'adaptation dans son résumé du rapport du 3 mars 2020 du Dr G._______, sur lequel il ne se prononce pas dans le reste de son appréciation médicale. Or, la présence d'une problématique psychique ressort de plusieurs rapports médicaux au dossier. Dans son rapport du 2 octobre 2020, le Dr G._______ évoque des « perturbations dépressives », qu'il classe dans les diagnostics incapacitants (OAIE pce 20). Quant au rapport du 25 mars 2021 (OAIE pce 24) du Dr H._______, il fait état d'une « dépression psychique », qu'il considère, en conjonction avec les autres pathologies, comme impactant de façon importante la capacité de travail. Ces deux rapports mentionnent de plus un traitement médicamenteux toujours en cours, sous forme de mirtazapine et de sertraline. Enfin, il ressortait du rapport du 3 mars 2020 du Dr G._______ que le recourant a bénéficié de consultations en psychiatrie en début d'année 2019, soit dans un passé récent. Dans ces circonstances, compte tenu des indications apportées par les médecins traitants sur le plan psychique, le médecin du SMR ne pouvait purement et simplement ignorer cette problématique, sans faire naître de sérieux doutes sur les conclusions de son appréciation médicale. En effet, le caractère potentiellement invalidant de telles atteintes doit être examiné à l'aune du catalogue d'indicateurs découlant de la jurisprudence topique du Tribunal fédéral (ATF 140 V 8 consid. 2.2.1.3), laquelle exige en substance, après avoir posé un diagnostic dans les règles de l'art, d'examiner les ressources de la personne expertisée et la cohérence des limitations présentées. Or, un tel examen n'a pas eu lieu en l'espèce, le médecin du SMR n'ayant aucunement pris position sur cette question, sans qu'il n'existe un motif permettant d'y renoncer (cf. not. arrêt du TF 8C_53/2022 du 5 juillet 2022 consid. 4.2 et les réf. cit.). L'instruction médicale se révèle dès lors lacunaire. Pour cette première raison déjà, il convient de nier toute valeur probante à l'avis SMR du 20 avril 2021.</w:t>
      </w:r>
    </w:p>
    <w:p>
      <w:r>
        <w:rPr>
          <w:b/>
        </w:rPr>
        <w:t>E. 12.1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12.2</w:t>
      </w:r>
    </w:p>
    <w:p>
      <w:r>
        <w:t>Dès lors, dans le cas présent, compte tenu également de l'absence de réaction du recourant à l'ordonnance du 22 février 2024 (TAF pce 14), la cause doit être renvoyée à l'OAIE pour mettre en oeuvre une expertise médicale pluridisciplinaire dans les disciplines de la médecine interne, de la psychiatrie et de l'orthopédie,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19 juillet 2021 étant annulée, les experts prendront position sur l'évolution de l'état de santé du recourant postérieure à cette date.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se prononcera à nouveau sur le droit du recourant aux prestations litigieuses.</w:t>
      </w:r>
    </w:p>
    <w:p>
      <w:r>
        <w:rPr>
          <w:b/>
        </w:rPr>
        <w:t>E. 13</w:t>
      </w:r>
    </w:p>
    <w:p>
      <w:r>
        <w:t>Compte tenu de l'issue du litige, il n'est pas nécessaire d'aborder les autres griefs et arguments des parties à l'égard de la décision attaquée.</w:t>
      </w:r>
    </w:p>
    <w:p>
      <w:r>
        <w:rPr>
          <w:b/>
        </w:rPr>
        <w:t>E. 14</w:t>
      </w:r>
    </w:p>
    <w:p>
      <w:r>
        <w:t>Vu ce qui précède, le recours contre la décision du 19 juillet 2021 doit être partiellement admis et la décision attaquée annulée, la cause étant renvoyée à l'autorité inférieure pour instruction complémentaire dans le sens des considérants et nouvelle décision.</w:t>
      </w:r>
    </w:p>
    <w:p>
      <w:r>
        <w:rPr>
          <w:b/>
        </w:rPr>
        <w:t>E. 15.1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 bis et 2 LAI ; cf. arrêt du TF 9C_639/2011 du 30 août 2012 consid. 3.2).</w:t>
      </w:r>
    </w:p>
    <w:p>
      <w:r>
        <w:rPr>
          <w:b/>
        </w:rPr>
        <w:t>E. 15.2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803.51 francs versée par le recourant lui sera remboursée dès l'entrée en force du présent arrêt, sur le compte qu'il aura désigné au Tribunal administratif fédéral.</w:t>
      </w:r>
    </w:p>
    <w:p>
      <w:r>
        <w:rPr>
          <w:b/>
        </w:rPr>
        <w:t>E. 15.3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