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C-351/2008 vom 24. Januar 2008</w:t>
      </w:r>
    </w:p>
    <w:p>
      <w:r>
        <w:t>Bundesverwaltungsgericht, 2008-01-24, DE</w:t>
      </w:r>
    </w:p>
    <w:p>
      <w:r>
        <w:rPr>
          <w:b/>
        </w:rPr>
        <w:t xml:space="preserve">Quelle: </w:t>
      </w:r>
      <w:r>
        <w:t>https://mcp.opencaselaw.ch/entscheid/bvger_C-351_2008</w:t>
      </w:r>
    </w:p>
    <w:p>
      <w:r>
        <w:t>FR: TAF C-351/2008 du 24 janvier 2008</w:t>
      </w:r>
    </w:p>
    <w:p>
      <w:r>
        <w:t>IT: TAF C-351/2008 del 24 gennaio 2008</w:t>
      </w:r>
    </w:p>
    <w:p>
      <w:pPr>
        <w:pStyle w:val="Heading2"/>
      </w:pPr>
      <w:r>
        <w:t>Regeste</w:t>
      </w:r>
    </w:p>
    <w:p>
      <w:r>
        <w:t>Krankenversicherung (Übriges)</w:t>
      </w:r>
    </w:p>
    <w:p>
      <w:pPr>
        <w:pStyle w:val="Heading2"/>
      </w:pPr>
      <w:r>
        <w:t>Erwägungen</w:t>
      </w:r>
    </w:p>
    <w:p>
      <w:r>
        <w:rPr>
          <w:b/>
        </w:rPr>
        <w:t>E. 1.1</w:t>
      </w:r>
    </w:p>
    <w:p>
      <w:r>
        <w:t>Die Beschwerde richtet sich gegen eine Zwischenverfügung des Regierungsrates, welche dieser im Rahmen des bei ihm laufenden Tariffestsetzungsverfahrens getroffen hat. Gegenstand dieser Zwischenverfügung bildet der für die Dauer des Tariffestsetzungsverfahrens provisorisch geltende Taxpunktwert sowie der Entzug der aufschiebenden Wirkung allfälliger Beschwerden gegen diese Verfügung.</w:t>
      </w:r>
    </w:p>
    <w:p>
      <w:r>
        <w:rPr>
          <w:b/>
        </w:rPr>
        <w:t>E. 1.2</w:t>
      </w:r>
    </w:p>
    <w:p>
      <w:r>
        <w:t>Gemäss Art. 34 des Verwaltungsgerichtsgesetzes vom 17. Juni 2005 (VGG, SR 173.32) in Verbindung mit Art. 5 des Bundesgesetzes vom 20. Dezember 1968 über das Verwaltungsverfahren (VwVG, SR 172.021) beurteilt das Bundesverwaltungsgericht unter anderem Beschwerden gegen Beschlüsse der Kantonsregierungen nach Art. 47 des Bundesgesetzes vom 18. März 1994 über die Krankenversicherung (KVG, SR 832.10).</w:t>
      </w:r>
    </w:p>
    <w:p>
      <w:r>
        <w:rPr>
          <w:b/>
        </w:rPr>
        <w:t>E. 1.3</w:t>
      </w:r>
    </w:p>
    <w:p>
      <w:r>
        <w:t>Zu den anfechtbaren Beschlüssen nach Art. 47 KVG zählen auch Zwischenverfügungen wie die vorliegende provisorische Festsetzung des Taxpunktwerts für die Dauer des Tariffestsetzungsverfahrens. Dies ergibt sich aus dem Grundsatz der Einheit des Rechtsmittelwegs, demzufolge der Rechtsmittelweg für die Anfechtung von Zwischenverfügungen der Gleiche sein muss wie für die Anfechtung in der Hauptsache (vgl. Urteil des Bundesgerichts K 178/04 vom 14. März 2005, unter Hinweis auf Fritz Gygi, Bundesverwaltungsrechtspflege, 2. Aufl., Bern 1983, S. 237).</w:t>
      </w:r>
    </w:p>
    <w:p>
      <w:r>
        <w:rPr>
          <w:b/>
        </w:rPr>
        <w:t>E. 1.4</w:t>
      </w:r>
    </w:p>
    <w:p>
      <w:r>
        <w:t>Das Bundesverwaltungsgericht ist daher zur Beurteilung der Beschwerde zuständig. Das Verfahren vor dem Bundesverwaltungsgericht richtet sich im Wesentlichen nach den Vorschriften des VGG und des VwVG (Art. 37 VGG), wobei das neue, am 1. Januar 2007 in Kraft getretene Verfahrensrecht anwendbar ist (vgl. Art. 53 Abs. 2 VGG). Das Bundesgesetz vom 6. Oktober 2000 über den Allgemeinen Teil des Sozialversicherungsrechts (ATSG, SR 830.1) ist gemäss Art. 1 Abs. 2 Bst. b KVG für den Bereich der Tarife nicht anwendbar.</w:t>
      </w:r>
    </w:p>
    <w:p>
      <w:r>
        <w:rPr>
          <w:b/>
        </w:rPr>
        <w:t>E. 1.5</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nimmt als Gesuchsteller am vorinstanzlichen Tariffestsetzungsverfahren teil, ist als Adressat durch die angefochtene Verfügung besonders berührt und hat insoweit an deren Aufhebung bzw. Abänderung ein schutzwürdiges Interesse. Die Beschwerde ist im Übrigen frist- und formgerecht eingereicht worden (Art. 50 u. 52 VwVG).</w:t>
      </w:r>
    </w:p>
    <w:p>
      <w:r>
        <w:rPr>
          <w:b/>
        </w:rPr>
        <w:t>E. 2</w:t>
      </w:r>
    </w:p>
    <w:p>
      <w:r>
        <w:t>Gegen selbständig eröffnete Zwischenverfügungen letzter kantonaler Instanzen, welche gestützt auf öffentliches Recht des Bundes nicht endgültig verfügen, ist die Beschwerde gemäss Art. 46 Abs. 1 VwVG in Verbindung mit Art. 1 Abs. 3 VwVG zulässig (vgl. BGE 123 V 40 u. 126 V 407, wie auch Urteil des Bundesgerichts U 333/03 vom 7. April 2004), wenn die Zwischenverfügung für den Beschwerdeführer einen nicht wieder gutzumachenden Nachteil bewirken kann (Bst. a) oder wenn die Gutheissung der Beschwerde sofort einen Endentscheid herbeiführen und damit einen bedeutenden Aufwand an Zeit oder Kosten für ein weitläufiges Beweisverfahren ersparen würde (Bst. b). Ist die Beschwerde nach Art. 46 Abs. 1 VwVG nicht zulässig oder wurde von ihr kein Gebrauch gemacht, so sind die betreffenden Zwischenverfügungen durch Beschwerde gegen die Endverfügung anfechtbar, soweit sie sich auf den Inhalt der Endverfügung auswirken.</w:t>
      </w:r>
    </w:p>
    <w:p>
      <w:r>
        <w:rPr>
          <w:b/>
        </w:rPr>
        <w:t>E. 3</w:t>
      </w:r>
    </w:p>
    <w:p>
      <w:r>
        <w:t>Die Beschwerdeführerin macht in ihrer Beschwerde im Wesentlichen geltend: - dass der angefochtene Zwischenentscheid der Praxis von Bundesrat und Bundesverwaltungsgericht hinsichtlich der provisorischen Festsetzung des Taxpunktwerts für die Dauer von Tariffestsetzungsverfahren nicht Rechnung trage, - dass nach dieser Praxis der tiefste unter den beantragten oder verfügten Tarifen anzuordnen sei; - dass auch Praktikabilitätsgründe für die Anordnung des tieferen Tarifs von Fr. 0.91 sprächen. In formeller Hinsicht beantragt die Beschwerdeführerin dem Bundesverwaltungsgericht, den Entscheid über den für die Dauer des kantonalen Tariffestsetzungsverfahrens geltenden Taxpunktwert superprovisorisch, ohne Konsultation der Gegenparteien, zu treffen. Zur Frage der Zulässigkeit der selbständigen Anfechtbarkeit der Zwischenverfügung des Regierungsrates äussert sich die Beschwerdeführerin nur indirekt, indem sie unter Buchstabe C.6.b mit Hinweis auf eine Zwischenverfügung des Bundesverwaltungsgerichts im Verfahren C-4308/2007 (Beschwerde eines Privatspitals i.S. Taxpunktwert für ambulante Spitalleistungen) ausführt, dass praxisgemäss bei ambulanten Tarifen in der Regel kaum angenommen werde, dass eine Tarifdifferenz einen nicht wieder gutzumachenden Nachteil bewirke.</w:t>
      </w:r>
    </w:p>
    <w:p>
      <w:r>
        <w:rPr>
          <w:b/>
        </w:rPr>
        <w:t>E. 4</w:t>
      </w:r>
    </w:p>
    <w:p>
      <w:r>
        <w:t>Die Vorinstanz hat in der angefochtenen Zwischenverfügung angeordnet, dass der bisherige, von santésuisse gekündigte Taxpunktwert von Fr. 0.94 während der Dauer des Beschwerdeverfahrens weiter gilt. Damit findet ein 3 Rappen höherer Taxpunktwert Anwendung als von santésuisse beantragt.</w:t>
      </w:r>
    </w:p>
    <w:p>
      <w:r>
        <w:rPr>
          <w:b/>
        </w:rPr>
        <w:t>E. 4.1</w:t>
      </w:r>
    </w:p>
    <w:p>
      <w:r>
        <w:t>Wird die Beschwerde von santésuisse vom Regierungsrat und - im Falle eines Weiterzugs an das Bundesverwaltungsgericht - von letzterem letztinstanzlich abgewiesen, bleibt es beim angeordneten Taxpunktwert von Fr. 0.94, so dass weder seitens der Versicherer noch seitens von Leistunserbringern (hier der Ärzte) Rückabwicklungen erforderlich sind.</w:t>
      </w:r>
    </w:p>
    <w:p>
      <w:r>
        <w:rPr>
          <w:b/>
        </w:rPr>
        <w:t>E. 4.2</w:t>
      </w:r>
    </w:p>
    <w:p>
      <w:r>
        <w:t>Wird die Beschwerde von santésuisse vom Regierungsrat und - im Falle eines Weiterzugs an das Bundesverwaltungsgericht - von letzterem letztinstanzlich gutgeheissen und rückwirkend auf den 1. Januar 2008 ein gesenkter Taxpunktwert von Fr. 0.91 festgesetzt, so führt dies in der Folge zu entsprechenden Rückforderungsansprüchen.</w:t>
      </w:r>
    </w:p>
    <w:p>
      <w:r>
        <w:rPr>
          <w:b/>
        </w:rPr>
        <w:t>E. 4.2.1</w:t>
      </w:r>
    </w:p>
    <w:p>
      <w:r>
        <w:t>Diese Rückforderungen werden von jenen geltend gemacht werden können, welche zu hohe Vergütungen geleistet haben, das heisst von Versicherten und Versichererern, wobei sich die Rückforderungen letztlich gegen die Leistungserbringer, das heisst die einzelnen Ärzte, richten werden.</w:t>
      </w:r>
    </w:p>
    <w:p>
      <w:r>
        <w:rPr>
          <w:b/>
        </w:rPr>
        <w:t>E. 4.2.2</w:t>
      </w:r>
    </w:p>
    <w:p>
      <w:r>
        <w:t>Dass diese Rückforderungen nicht möglich sein sollen, ist von der Beschwerdeführerin nicht geltend gemacht worden. Die Ärztegesellschaft hat im vorinstanzlichen Verfahren geltend gemacht, dass Rückforderungen gegenüber Ärzten ebenso praktikabel seien wie Rückforderungen gegenüber Versicherern.</w:t>
      </w:r>
    </w:p>
    <w:p>
      <w:r>
        <w:rPr>
          <w:b/>
        </w:rPr>
        <w:t>E. 4.2.3</w:t>
      </w:r>
    </w:p>
    <w:p>
      <w:r>
        <w:t>Letzteres trifft grundsätzlich zu. Dabei wird nicht verkannt, dass sich auch Fragen des Verhältnisses zwischen den Versicherern und den Versicherten stellen und auch Konstellationen denkbar sind, in welchen die Rückabwicklung scheitern kann. Im Einverständnis aller Parteien könnten Rückabwicklungen auch direkt zwischen Versicherern und Ärzten abgewickelt werden.</w:t>
      </w:r>
    </w:p>
    <w:p>
      <w:r>
        <w:rPr>
          <w:b/>
        </w:rPr>
        <w:t>E. 4.2.4</w:t>
      </w:r>
    </w:p>
    <w:p>
      <w:r>
        <w:t>Sollte sich im Übrigen zeigen, dass die vorstehenden Annahmen nicht zutreffen, kann dem im Rahmen zukünftiger Zwischenverfügungen Rechnung getragen werden.</w:t>
      </w:r>
    </w:p>
    <w:p>
      <w:r>
        <w:rPr>
          <w:b/>
        </w:rPr>
        <w:t>E. 4.2.5</w:t>
      </w:r>
    </w:p>
    <w:p>
      <w:r>
        <w:t>Während sich in der Praxis bisweilen die Frage stellte, ob einem Leistungserbringer wegen einer Tarifsenkung ein Liquidationsengpass droht oder er allenfalls in seiner wirtschaftlichen Existenz bedroht wird, stellt sich diese Frage hier - jedenfalls aus Sicht der Beschwerdeführerin - nicht.</w:t>
      </w:r>
    </w:p>
    <w:p>
      <w:r>
        <w:rPr>
          <w:b/>
        </w:rPr>
        <w:t>E. 4.3</w:t>
      </w:r>
    </w:p>
    <w:p>
      <w:r>
        <w:t>Das Bundesverwaltungsgericht braucht diese Frage indes nicht weiter zu prüfen, da santésuisse gar nicht geltend macht, dass den Versicherern durch die allenfalls erforderlichen Rückforderungen ein nicht wieder gutzumachender Nachteil erwachse, und auch das Bundesverwaltungsgericht selbst keine Anhaltspunkte für eine solche Annahme erkennt.</w:t>
      </w:r>
    </w:p>
    <w:p>
      <w:r>
        <w:rPr>
          <w:b/>
        </w:rPr>
        <w:t>E. 5</w:t>
      </w:r>
    </w:p>
    <w:p>
      <w:r>
        <w:t>Sind die Voraussetzungen für die selbständige Anfechtbarkeit der Zwischenverfügung des Regierungsrates des Kantons Basel-Landschaft nicht erfüllt, erweist sich die Beschwerde als unzulässig, so dass auf sie nicht einzutreten ist. Da das Rechtsmittel vorliegend offensichtlich unzulässig ist, erfolgt der Entscheid im einzelrichterlichen Verfahren (Art. 23 Abs. 1Bst. b VGG).</w:t>
      </w:r>
    </w:p>
    <w:p>
      <w:r>
        <w:rPr>
          <w:b/>
        </w:rPr>
        <w:t>E. 6.1</w:t>
      </w:r>
    </w:p>
    <w:p>
      <w:r>
        <w:t>Angesichts dieser Rechtslage erübrigte es sich, die Vorinstanz und die Beschwerdegegnerin einzuladen, zur vorliegenden Beschwerde Stellung zu nehmen (Art. 57 Abs. 1 VwVG).</w:t>
      </w:r>
    </w:p>
    <w:p>
      <w:r>
        <w:rPr>
          <w:b/>
        </w:rPr>
        <w:t>E. 6.2</w:t>
      </w:r>
    </w:p>
    <w:p>
      <w:r>
        <w:t>Das Bundesverwaltungsgericht braucht auch nicht materiell zu beurteilen, ob - wie die Vorinstanz behauptet - allfällige Rückabwicklungen grundsätzlich über temporäre Erhöhungen oder Senkungen der Taxpunktwerte realisiert werden dürfen, oder ob solche Kompensationen - wie Sandgusses darlegt - nur im direkten Verhältnis der Versicherer und der kantonalen Ärztegesellschaft sachgerecht sind, für die betroffenen Versicherten zu Ungerechtigkeiten führen, weil die während der Dauer des Beschwerdeverfahrens behandelten Versicherten zu hohe Kosten zu tragen hätten, während andere später ohne sachlichen Grund entlastet würden.</w:t>
      </w:r>
    </w:p>
    <w:p>
      <w:r>
        <w:rPr>
          <w:b/>
        </w:rPr>
        <w:t>E. 7.1</w:t>
      </w:r>
    </w:p>
    <w:p>
      <w:r>
        <w:t>Bei diesem Ausgang des Verfahrens hat die Beschwerdeführerin als unterliegende Partei die Verfahrenskosten von Fr. 1'000.- zu tragen. Da kein Kostenvorschuss verlangt wurde, sind die Verfahrenskosten dem Bundesverwaltungsgericht mittels beigelegtem Einzahlungsschein innert 30 Tagen nach Eintritt der Rechtskraft des vorliegenden Urteils zu Gunsten der Gerichtskasse zu überweisen.</w:t>
      </w:r>
    </w:p>
    <w:p>
      <w:r>
        <w:rPr>
          <w:b/>
        </w:rPr>
        <w:t>E. 7.2</w:t>
      </w:r>
    </w:p>
    <w:p>
      <w:r>
        <w:t>Die unterliegende Beschwerdeführerin hat keinen Anspruch auf Parteientschädigung, und den noch nicht ins Beschwerdeverfahren mit einbezogenen Gegenparteien sind keine notwendigen und verhältnismässig hohen Kosten erwachsen (Art. 64 Abs. 1 VwVG).</w:t>
      </w:r>
    </w:p>
    <w:p>
      <w:r>
        <w:rPr>
          <w:b/>
        </w:rPr>
        <w:t>E. 8</w:t>
      </w:r>
    </w:p>
    <w:p>
      <w:r>
        <w:t>Dieses Urteil ist endgültig (Art. 83 Bst. r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