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C-3512/2023 vom 20. Dezember 2023</w:t>
      </w:r>
    </w:p>
    <w:p>
      <w:r>
        <w:t>Bundesverwaltungsgericht, 2023-12-20, DE</w:t>
      </w:r>
    </w:p>
    <w:p>
      <w:r>
        <w:rPr>
          <w:b/>
        </w:rPr>
        <w:t xml:space="preserve">Quelle: </w:t>
      </w:r>
      <w:r>
        <w:t>https://mcp.opencaselaw.ch/entscheid/bvger_C-3512_2023</w:t>
      </w:r>
    </w:p>
    <w:p>
      <w:r>
        <w:t>FR: TAF C-3512/2023 du 20 décembre 2023</w:t>
      </w:r>
    </w:p>
    <w:p>
      <w:r>
        <w:t>IT: TAF C-3512/2023 del 20 dicembre 2023</w:t>
      </w:r>
    </w:p>
    <w:p>
      <w:pPr>
        <w:pStyle w:val="Heading2"/>
      </w:pPr>
      <w:r>
        <w:t>Regeste</w:t>
      </w:r>
    </w:p>
    <w:p>
      <w:r>
        <w:t>Aufsichtsmittel</w:t>
      </w:r>
    </w:p>
    <w:p>
      <w:pPr>
        <w:pStyle w:val="Heading2"/>
      </w:pPr>
      <w:r>
        <w:t>Erwägungen</w:t>
      </w:r>
    </w:p>
    <w:p>
      <w:r>
        <w:rPr>
          <w:b/>
        </w:rPr>
        <w:t>E. 1</w:t>
      </w:r>
    </w:p>
    <w:p>
      <w:r>
        <w:t>Dem Beschwerdegegner wird die angesetzte Frist bis 8. Dezember 2023 abgenommen.</w:t>
      </w:r>
    </w:p>
    <w:p>
      <w:r>
        <w:rPr>
          <w:b/>
        </w:rPr>
        <w:t>E. 2</w:t>
      </w:r>
    </w:p>
    <w:p>
      <w:r>
        <w:t>Das Beschwerdeverfahren wird zufolge Rückzugs als gegenstandslos ge- worden abgeschrieben.</w:t>
      </w:r>
    </w:p>
    <w:p>
      <w:r>
        <w:rPr>
          <w:b/>
        </w:rPr>
        <w:t>E. 3</w:t>
      </w:r>
    </w:p>
    <w:p>
      <w:r>
        <w:t>Es werden keine Verfahrenskosten erhoben.</w:t>
      </w:r>
    </w:p>
    <w:p>
      <w:r>
        <w:rPr>
          <w:b/>
        </w:rPr>
        <w:t>E. 4</w:t>
      </w:r>
    </w:p>
    <w:p>
      <w:r>
        <w:t>Der von der Beschwerdeführerin geleistete Kostenvorschuss von Fr. 1'500.– wird ihr nach Eintritt der Rechtskraft des vorliegenden Urteils zurückerstattet.</w:t>
      </w:r>
    </w:p>
    <w:p>
      <w:r>
        <w:rPr>
          <w:b/>
        </w:rPr>
        <w:t>E. 5</w:t>
      </w:r>
    </w:p>
    <w:p>
      <w:r>
        <w:t>Es werden keine Parteientschädigungen zugesprochen.</w:t>
      </w:r>
    </w:p>
    <w:p>
      <w:r>
        <w:rPr>
          <w:b/>
        </w:rPr>
        <w:t>E. 6</w:t>
      </w:r>
    </w:p>
    <w:p>
      <w:r>
        <w:t>Dieser Entscheid geht an die Beschwerdeführerin, den Beschwerdegegner, die Vorinstanz, das Bundesamt für Sozialversicherun- gen und die Oberaufsichtskommission BVG.</w:t>
      </w:r>
    </w:p>
    <w:p>
      <w:r>
        <w:t>C-3512/2023 Seite 5 Der Einzelrichter: Die Gerichtsschreiberin:</w:t>
      </w:r>
    </w:p>
    <w:p>
      <w:r>
        <w:t>Beat Weber Anja Valier</w:t>
      </w:r>
    </w:p>
    <w:p>
      <w:r>
        <w:t>Rechtsmittelbelehrung: Gegen diesen Entscheid kann innert 30 Tagen nach Eröffnung beim Bun- desgericht, Schweizerhofquai 6, 6004 Luzern, Beschwerde in öffentlich- 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