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C-3501/2010 vom 18. Mai 2012</w:t>
      </w:r>
    </w:p>
    <w:p>
      <w:r>
        <w:t>Bundesverwaltungsgericht, 2012-05-18, DE</w:t>
      </w:r>
    </w:p>
    <w:p>
      <w:r>
        <w:rPr>
          <w:b/>
        </w:rPr>
        <w:t xml:space="preserve">Quelle: </w:t>
      </w:r>
      <w:r>
        <w:t>https://mcp.opencaselaw.ch/entscheid/bvger_C-3501_2010</w:t>
      </w:r>
    </w:p>
    <w:p>
      <w:r>
        <w:t>FR: TAF C-3501/2010 du 18 mai 2012</w:t>
      </w:r>
    </w:p>
    <w:p>
      <w:r>
        <w:t>IT: TAF C-3501/2010 del 18 maggio 2012</w:t>
      </w:r>
    </w:p>
    <w:p>
      <w:pPr>
        <w:pStyle w:val="Heading2"/>
      </w:pPr>
      <w:r>
        <w:t>Regeste</w:t>
      </w:r>
    </w:p>
    <w:p>
      <w:r>
        <w:t>Rente</w:t>
      </w:r>
    </w:p>
    <w:p>
      <w:pPr>
        <w:pStyle w:val="Heading2"/>
      </w:pPr>
      <w:r>
        <w:t>Erwägungen</w:t>
      </w:r>
    </w:p>
    <w:p>
      <w:r>
        <w:rPr>
          <w:b/>
        </w:rPr>
        <w:t>E. 1.1</w:t>
      </w:r>
    </w:p>
    <w:p>
      <w:r>
        <w:t>Das Verfahren vor dem Bundesverwaltungsgericht richtet sich nach dem Verwaltungsverfahrensgesetz, soweit das Verwaltungsgerichtsgesetz vom 17. Juni 2005 (VGG, SR 173.32)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 Dabei finden den allgemeinen intertemporalrechtlichen Regeln in formell-rechtlicher Hinsicht grundsätzlich diejenigen Rechtssätze Anwendung, welche im Zeitpunkt der Beschwerdebeurteilung Geltung haben (BGE 130 V 1 E. 3.2).</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Aufgrund von Art. 3 Bst. dbis VwVG findet das VwVG keine Anwendung in Sozialversicherungssachen, soweit das ATSG anwendbar ist. Dies trifft hier zu, da gemäss Art. 1 Abs. 1 AHVG die Bestimmungen des ATSG auf die im ersten Teil geregelte Alters- und Hinterlassenenversicherung anwendbar sind, soweit das AHVG nicht ausdrücklich eine Abweichung vom ATSG vorsieht. Dies ist vorliegend nicht der Fall.</w:t>
      </w:r>
    </w:p>
    <w:p>
      <w:r>
        <w:rPr>
          <w:b/>
        </w:rPr>
        <w:t>E. 1.4</w:t>
      </w:r>
    </w:p>
    <w:p>
      <w:r>
        <w:t>Als Adressat des angefochtenen Einspracheentscheids vom 22. April 2010 (act. 135 und 136) ist der Beschwerdeführer beschwerdelegitimiert (Art. 59 ATSG, vgl. auch Art. 48 Abs. 1 VwVG). Auf die frist- und formgerecht eingereichte Beschwerde ist daher einzutreten (Art. 60 ATSG; vgl. auch Art. 20 Abs. 1 und 3, Art. 50 und Art. 52 VwVG).</w:t>
      </w:r>
    </w:p>
    <w:p>
      <w:r>
        <w:rPr>
          <w:b/>
        </w:rPr>
        <w:t>E. 1.5</w:t>
      </w:r>
    </w:p>
    <w:p>
      <w:r>
        <w:t>Anfechtungsobjekt bildet der Einspracheentscheid vom 22. April 2010. Streitig und vom Bundesverwaltungsgericht zu prüfen ist, ob die Vorinstanz die Berechnung der Altersrente in korrekter Weise vorgenommen resp. die Beitragszeiten korrekt angerechnet worden sind.</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In zeitlicher Hinsicht sind grundsätzlich diejenigen materiellen Rechtssätze massgebend, die bei der Erfüllung des zu Rechtsfolgen führenden Tatbestandes Geltung hatten (BGE 130 V 445, 127 V 467 E. 1, 126 V 136 E. 4b). Der Beschwerdeführer wurde am 2. Dezember 2009 63 Jahre alt. Sein Anspruch auf eine ordentliche, durch den Vorbezug gekürzte Altersrente war demnach im Monat nach Vollendung des 63. Altersjahrs, am 1. Januar 2010, entstanden (vgl. Art. 40 AHVG). Der zur Rechtsfolge der Rentenberechtigung führende Tatbestand (das Erreichen des Rentenalters) verwirklichte sich vorliegend somit im Jahre 2010. Damit steht fest, dass für die Beurteilung des Anspruchs des Beschwerdeführers auf die Altersrente auf jene Normen abzustellen ist, die im Zeitpunkt des Erreichens seines Rentenalters in Kraft standen.</w:t>
      </w:r>
    </w:p>
    <w:p>
      <w:r>
        <w:rPr>
          <w:b/>
        </w:rPr>
        <w:t>E. 2.2</w:t>
      </w:r>
    </w:p>
    <w:p>
      <w:r>
        <w:t>Der österreichische Beschwerdeführer ist Staatsangehöriger eines Mitgliedsstaates der Europäischen Gemeinschaft, so dass vorliegend - mit Blick auf das im Jahre 2010 verwirklichte (vorzeitige) Rentenalter des Beschwerdeführers - das am 1. Juni 2002 in Kraft getretene Abkommen zwischen der Schweizerischen Eidgenossenschaft einerseits und der Europäischen Gemeinschaft und ihren Mitgliedstaaten andererseits über die Freizügigkeit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Daraus folgt, dass die Verwaltung und im Beschwerdefall das Gericht den Leistungsanspruch des Beschwerdeführers gemäss Art. 3 Abs. 1 der Koordinierungsverordnung (EWG) Nr. 1408/71 grundsätzlich nach den für schweizerische Staatsangehörige geltenden Regeln zu beurteilen haben. Demnach bestimmt sich vorliegend der Anspruch der Beschwerdeführerin auf eine Rente der AHV nach dem internen schweizerischen Recht. Die neuen, ab dem 1. April 2012 in den Beziehungen zwischen der Schweiz und den EU-Mitgliedstaaten geltenden EU-Verordnungen Nr. 883/2004 und 987/2009, welche die Verordnungen Nr. 1408/71 und 574/72 ersetzen, und der - seit demselben Datum in Kraft stehende - revidierte Anhang II zum FZA sind vorliegend noch nicht anwendbar.</w:t>
      </w:r>
    </w:p>
    <w:p>
      <w:r>
        <w:rPr>
          <w:b/>
        </w:rPr>
        <w:t>E. 2.3</w:t>
      </w:r>
    </w:p>
    <w:p>
      <w:r>
        <w:t>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der AHVV vor, wenn eine Person insgesamt länger als elf Monate im Sinne von Art. 1a oder 2 AHVG versichert war und während dieser Zeit den Mindestbeitrag bezahlt hat oder Beitragszeiten im Sinne von Art. 29ter Abs. 2 Bst. b und c AHVG aufweist. Bei unvollständiger Beitragsdauer besteht Anspruch auf eine Teilrente, entsprechend dem gerundeten Verhältnis zwischen den vollen Beitragsjahren der versicherten Person und denjenigen ihres Jahrganges (Art. 38 Abs. 2 AHVG; BGE 121 V 71 E. 1 S. 74).</w:t>
      </w:r>
    </w:p>
    <w:p>
      <w:r>
        <w:rPr>
          <w:b/>
        </w:rPr>
        <w:t>E. 2.4</w:t>
      </w:r>
    </w:p>
    <w:p>
      <w:r>
        <w:t>Für die Rentenberechnung werden Beitragsjahre, Erwerbseinkommen sowie Erziehungs- oder Betreuungsgutschriften der rentenberechtigten Person zwischen dem 1. Januar nach Vollendung des 20. Altersjahres und dem 31. Dezember vor Eintritt des Versicherungsfalles berücksichtigt (Art. 29bis Abs. 1 AHVG). 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w:t>
      </w:r>
    </w:p>
    <w:p>
      <w:r>
        <w:rPr>
          <w:b/>
        </w:rPr>
        <w:t>E. 2.5</w:t>
      </w:r>
    </w:p>
    <w:p>
      <w:r>
        <w:t>Die Beitragsdauer einer versicherten Person bestimmt sich in der Regel nach ihrem individuellen Konto, in welches die für die Berechnung der ordentlichen Rente erforderlichen Angaben eingetragen werden (Art. 30ter Abs. 1 AHVG). Grundsätzlich dürfen im individuellen Konto nur Erwerbseinkommen eingetragen werden, von welchen dem Versicherten die gesetzlichen Beiträge abgezogen worden sind - unabhängig davon, ob der Arbeitgeber die entsprechenden Beiträge der Ausgleichskasse entrichtet hat (Art. 30ter Abs. 2 AHVG). Bei einwandfreiem Nachweis können auch Einkommen eingetragen werden, die ohne Lohnabzüge aufgrund einer Nettolohnvereinbarung ausgerichtet wurden (vgl. UELI KIESER, Alters- und Hinterlassenenversicherung, Rechtsprechung des Bundesgerichts zum Sozialversicherungsrecht, 2. Aufl., Zürich 2005, N. 3 zu Art. 30ter). Der seit dem 1. Januar 1969 in Kraft stehende, vorliegend anwendbare Art. 140 Abs. 1 Bst. d AHVV schreibt vor, dass das individuelle Konto das Beitragsjahr und die Beitragsdauer in Monaten umfassen muss.</w:t>
      </w:r>
    </w:p>
    <w:p>
      <w:r>
        <w:rPr>
          <w:b/>
        </w:rPr>
        <w:t>E. 2.6</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Zu beachten ist allerdings auch der im Sozialversicherungsrecht anwendbare Untersuchungsgrundsatz, was zur Folge hat, dass die Verwaltung und im Beschwerdefall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(BGE 117 V 263 E. 3b mit Hinweisen).</w:t>
      </w:r>
    </w:p>
    <w:p>
      <w:r>
        <w:rPr>
          <w:b/>
        </w:rPr>
        <w:t>E. 3</w:t>
      </w:r>
    </w:p>
    <w:p>
      <w:r>
        <w:t>Bei der Bestimmung der Beitragsjahre ist vom individuellen Konto des Beschwerdeführers, wo alle Einkommen, Beitragszeiten sowie Betreuungsgutschriften aufgezeichnet werden, die als Grundlage für die Berechnung einer Altersrente dienen, auszugehen.</w:t>
      </w:r>
    </w:p>
    <w:p>
      <w:r>
        <w:rPr>
          <w:b/>
        </w:rPr>
        <w:t>E. 3.1</w:t>
      </w:r>
    </w:p>
    <w:p>
      <w:r>
        <w:t>Der Versicherte führte beschwerdeweise aus, er habe in den Jahren 1973 bis 1974 jeweils während 12 Monaten bei den Speditionen E._______ AG und F._______ AG in C._______ SG gearbeitet. Dem IK-Auszug vom 9. Juni 2010 (act. 94 bis 96) ist jedoch zu entnehmen, dass dem Beschwerdeführer im Jahre 1973 nur während zwei und 1974 nur während sieben Monaten AHV-Beiträge abgerechnet worden waren. Nachforschungen bei der zuständigen Ausgleichskasse Arbeitgeber Basel - der Sitz der oben erwähnten Unternehmungen befindet sich in Basel (vgl. www.zefix.ch) - haben ergeben, dass nach Überprüfung der Lohnbescheinigungen von dieser Ausgleichskasse die Beitragszeiten gemäss den damals erfolgten Deklarationen übernommen worden waren (act. 125, 131 und 132).</w:t>
      </w:r>
    </w:p>
    <w:p>
      <w:r>
        <w:rPr>
          <w:b/>
        </w:rPr>
        <w:t>E. 3.2</w:t>
      </w:r>
    </w:p>
    <w:p>
      <w:r>
        <w:t>Da der Beschwerdeführer - soweit aus den Akten ersichtlich - nie einen Kontenauszug von der Ausgleichskasse verlangt hat, kann die Berichtigung von Eintragungen im individuellen Konto nur verlangt werden, soweit deren Unrichtigkeit offenkundig ist oder dafür der volle Beweis erbracht wird (vgl. E. 2.6 hiervor). Mit Blick auf die von der Vorinstanz vorgenommenen Nachforschungen und die Ausführungen des Beschwerdeführers sind Dokumente in Form von Lohnabrechnungen und Arbeitszeugnissen betreffend die Beschäftigungen bei den vorstehend aufgeführten Unternehmungen, welche die Vorbringen des Versicherten beweisen könnten, weder vorhanden noch einbringlich. Weiter finden sich in den Akten auch keinerlei Hinweise auf allfällige Nettolohnvereinbarungen (vgl. E. 2.5 hiervor). Der Beschwerdeführer konnte demnach in keiner Weise beweisen, dass er in den Jahren 1973 bis 1974 jeweils während 12 Monaten erwerbstätig gewesen war und entsprechend AHV-Beiträge abgerechnet worden waren. Da von weiteren Beweismassnahmen keine neuen entscheidrelevanten Erkenntnisse zu erwarten sind, ist vorliegend von solchen abzusehen (zur antizipierten Beweiswürdigung vgl. BGE 124 V 90 E. 4b, 122 V 157 E. 1d mit Hinweis; SVR 2001 IV Nr. 10 S. 28 E. 4b). Da die Eintragungen im IK-Auszug für die Jahre 1973 und 1974 weder offenkundig falsch sind noch für deren Unrichtigkeit der volle Beweis erbracht werden konnte (vgl. E. 2.6 hiervor), besteht - zu Ungunsten des Beschwerdeführers (vgl. BGE 117 V 263 E. 3b mit Hinweisen; vgl. auch E. 2.7 hiervor) - kein Anlass, die Beitragsdauer für die Jahre 1973 und 1974 nicht aufgrund des IK-Auszuges zu ermitteln. Es ist somit davon auszugehen, dass in den Jahren 1973 bis 1974 in korrekter Weise während insgesamt neun Monaten AHV-Beiträge abgerechnet worden waren.</w:t>
      </w:r>
    </w:p>
    <w:p>
      <w:r>
        <w:rPr>
          <w:b/>
        </w:rPr>
        <w:t>E. 3.3</w:t>
      </w:r>
    </w:p>
    <w:p>
      <w:r>
        <w:t>Im Rahmen des Einspracheverfahrens führte der Versicherte am 5. Januar 2010 aus, zuletzt habe er in der Schweiz von 1993 bis Ende 1996 bei der in Konkurs geratenen B._______ AG gearbeitet (act. 113). Diese Aussage relativierte er in seinem Schreiben vom 1. April 2010, in welchem er berichtete, er sei am 31. März 1995 ausgetreten (act. 130). Indem der Versicherte in seiner Beschwerde vom 11. Mai 2010 ausgeführt hat, er habe bis 1995 in der Schweiz gearbeitet, ist davon auszugehen, dass er auch für die Zeit von Anfang September 1993 bis Ende März 1995 fälschlicherweise nicht angerechnete Beitragszeiten geltend macht. Diesbezüglich ist festzustellen, dass die Eintragungen im IK-Auszug für diesen Zeitraum ebenfalls nicht offenkundig falsch sind. Der Beschwerdeführer konnte durch Beibringung von Lohnabrechnungen, Arbeitszeugnissen und/oder Kontoauszügen deren Unrichtigkeit nicht beweisen, und auch der am 15. Februar 1993 ausgestellte persönliche Versicherungsausweis (act. 129) vermag keinen vollen Beweis zu erbringen. Obwohl darauf unter anderem von einem Jahreslohn und persönlichen Beiträgen pro Jahr die Rede ist, kann dieser Ausweis nicht beweisen, dass in der fraglichen Zeit ab September 1993 (bis Ende März 1995) Beiträge abgerechnet wurden. Dasselbe gilt schliesslich auch für die bis zum 14. April 1995 gültig gewesene Grenzgängerbewilligung (act. 128). Es ist deshalb zusammengefasst davon auszugehen, dass für den erwähnten Zeitraum ebenfalls keine weiteren Beitragszeiten angerechnet werden können.</w:t>
      </w:r>
    </w:p>
    <w:p>
      <w:r>
        <w:rPr>
          <w:b/>
        </w:rPr>
        <w:t>E. 3.4</w:t>
      </w:r>
    </w:p>
    <w:p>
      <w:r>
        <w:t>Abschliessend ist darauf hinzuweisen, dass die weiteren Berechnungsgrundlagen (massgebendes durchschnittliches Jahreseinkommen, anwendbare Rentenskala, Versicherungsjahre des Jahrgangs) nicht beanstandet wurden und mit Blick auf die Sach- und Rechtslage auch zu keinen Beanstandungen Anlass geben.</w:t>
      </w:r>
    </w:p>
    <w:p>
      <w:r>
        <w:rPr>
          <w:b/>
        </w:rPr>
        <w:t>E. 4</w:t>
      </w:r>
    </w:p>
    <w:p>
      <w:r>
        <w:t>Aufgrund der vorstehenden Erwägungen erweist sich der Einspracheentscheid der Vorinstanz vom 22. April 2010 als rechtens, weshalb die dagegen erhobene Beschwerde vom 11. Mai 2010 abzuweisen ist.</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Entsprechend dem Ausgang des Verfahrens hat der Beschwerdeführer keinen Anspruch auf eine Parteientschädigung. Als Bundesbehörde hat die obsiegende Vorinstanz ebenfalls keinen Anspruch auf die Parteientschädigung (Art. 64 Abs. 1 VwVG [e contrario] und Art. 7 Abs. 1 [e contrario] und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