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C-34/2013 vom 30. Januar 2017</w:t>
      </w:r>
    </w:p>
    <w:p>
      <w:r>
        <w:t>Bundesverwaltungsgericht, 2017-01-30, DE</w:t>
      </w:r>
    </w:p>
    <w:p>
      <w:r>
        <w:rPr>
          <w:b/>
        </w:rPr>
        <w:t xml:space="preserve">Quelle: </w:t>
      </w:r>
      <w:r>
        <w:t>https://mcp.opencaselaw.ch/entscheid/bvger_C-34_2013</w:t>
      </w:r>
    </w:p>
    <w:p>
      <w:r>
        <w:t>FR: TAF C-34/2013 du 30 janvier 2017</w:t>
      </w:r>
    </w:p>
    <w:p>
      <w:r>
        <w:t>IT: TAF C-34/2013 del 30 gennaio 2017</w:t>
      </w:r>
    </w:p>
    <w:p>
      <w:pPr>
        <w:pStyle w:val="Heading2"/>
      </w:pPr>
      <w:r>
        <w:t>Regeste</w:t>
      </w:r>
    </w:p>
    <w:p>
      <w:r>
        <w:t>Spezialitätenliste</w:t>
      </w:r>
    </w:p>
    <w:p>
      <w:pPr>
        <w:pStyle w:val="Heading2"/>
      </w:pPr>
      <w:r>
        <w:t>Erwägungen</w:t>
      </w:r>
    </w:p>
    <w:p>
      <w:r>
        <w:rPr>
          <w:b/>
        </w:rPr>
        <w:t>E. 1.1</w:t>
      </w:r>
    </w:p>
    <w:p>
      <w:r>
        <w:t>Gemäss Art. 31 VGG in Verbindung mit Art. 33 Bst. d VGG sowie Art. 5 VwVG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ATSG sind vorliegend nicht anwendbar (vgl. Art. 1 Abs. 1 und 2 Bst. b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Verfahrenskostenvorschuss rechtzeitig geleistet worden ist, kann auf die frist- und formgerecht eingereichte Beschwerde eingetreten werden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Zürich 2008, Art. 49 VwVG N. 26).</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verfügten Preissenkung, also am 5. Dezember 2012 geltenden materiellen Bestimmungen. Dazu gehören einerseits namentlich das KVG in der nach Inkrafttreten der Änderung vom 16. Juli 2012 (AS 2012 3745; BBl 2007 5037, 2010 7841) geltenden Fassung, die KVV in der nach Inkrafttreten der Änderung vom 1. Mai 2012 geltenden Fassung (AS 2012 1767) und die KLV in der nach Inkrafttreten der Änderung vom 1. September 2012 geltenden Fassung (AS 2012 4347).</w:t>
      </w:r>
    </w:p>
    <w:p>
      <w:r>
        <w:rPr>
          <w:b/>
        </w:rPr>
        <w:t>E. 3</w:t>
      </w:r>
    </w:p>
    <w:p>
      <w:r>
        <w:t>Die Beschwerdeführerin hat in ihrer Replik vom 2. September 2013 die Anträge und die Begründung ihrer Beschwerde vom 28. Dezember 2012 modifiziert, indem sie im Hauptantrag zwar nach wie vor die Ermittlung des FAP ausschliesslich anhand des TQV und unter Berücksichtigung der Kosten für Forschung und Entwicklung verlangt. Der Hauptantrag stützt sich dabei neu ausschliesslich noch auf die Rüge des Verstosses gegen das KVG, die KVV und KLV, weil der APV mit Referenzländern durchgeführt werde, in denen das Arzneimittel nicht unter ihrer Kontrolle vertrieben werde. Für den Fall, dass ein APV durchzuführen sei, fordert sie eventualiter lediglich noch die Ermittlung und Berücksichtigung der Preise in Dänemark und in den Niederlanden. Damit lässt sie im Ergebnis ihre Anträge fallen, wonach "im Rahmen des Auslandpreisvergleiches wechselkursbedingte Preisreduktionen auszuschliessen" und der Auslandpreisvergleich sowie der therapeutische Quervergleich bei der Beurteilung der Wirtschaftlichkeit gleich zu gewichten seien (Ziff. 3 Bst. b [i] und Ziff. 3 Bst. b [iii] der Beschwerdeanträge; vgl. BVGer act. 1, S. 2 und BVGer act. 22, S. 2 ff.).</w:t>
      </w:r>
    </w:p>
    <w:p>
      <w:r>
        <w:rPr>
          <w:b/>
        </w:rPr>
        <w:t>E. 3.1</w:t>
      </w:r>
    </w:p>
    <w:p>
      <w:r>
        <w:t>Nach Ablauf der Beschwerdefrist können Begehren einer Beschwerde nicht mehr erweitert, sondern höchstens präzisiert, eingeengt oder fallengelassen werden (André Moser/Michael Beusch/Lorenz Kneubühler, Prozessieren vor dem Bundesverwaltungsgericht, 2. Aufl. 2013, S. 123 Rz. 2.218; Frank Seetaler/Fabia Bochsler, in: Praxiskommentar VwVG, 2009, Art. 52 N. 41). 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Auer/Müller/Schindler [Hrsg.], a.a.O., Art. 44 VwVG N. 5).</w:t>
      </w:r>
    </w:p>
    <w:p>
      <w:r>
        <w:rPr>
          <w:b/>
        </w:rPr>
        <w:t>E. 3.2</w:t>
      </w:r>
    </w:p>
    <w:p>
      <w:r>
        <w:t>Indem die Beschwerdeführerin in ihrer Replik vom 2. September 2013 einen Teil der Anträge fallengelassen hat, hat sie den Streitgegenstand eingeschränkt. Die vorgenommene Modifikation des Rechtsbegehrens ist daher ohne Weiteres zulässig. Formell angefochten bleibt damit zwar die gesamte Verfügung der Vorinstanz vom 5. Dezember 2012, weil die Beschwerdeführerin deren Aufhebung und die Rückweisung der Streitsache zur Ermittlung der Fabrikabgabe- und der Publikumspreise im Sinne ihrer Begründung fordert. An der ursprünglich (eventualiter) geforderten gleichen Gewichtung des TQV und des APV bei der Beurteilung der Wirtschaftlichkeit und am Ausschluss der wechselkursbedingten Preisschwankungen hält die Beschwerdeführerin indes nicht mehr fest. Fallengelassen wurden auch die Rügen betreffend prinzipiellen Ausschluss des TQV und wechselkursbedingte Schwankungen. An der Rüge des von ihr beanstandeten Vergleichs mit Arzneimitteln, welche nicht unter ihrer Kontrolle im Ausland vertrieben würden, hält sie demgegenüber fest. Gleiches gilt auch für die Rüge, wonach die Vorinstanz die FAP in Dänemark und in den Niederlanden zu Unrecht nicht von Amtes wegen erhoben habe.</w:t>
      </w:r>
    </w:p>
    <w:p>
      <w:r>
        <w:rPr>
          <w:b/>
        </w:rPr>
        <w:t>E. 4.1</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vom 1. September 2011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C-5926/2008 vom 11. September 2011 E. 3.5 und C-2263/2006 vom 7. November 2007 E. 5.1). Massgebend für einen Rückgriff auf das SL-Handbuch, ist vorliegend in zeitlicher Hinsicht dessen Fassung vom 1. Januar 2012, welches in der Folge durch das neue SL-Handbuch vom 1. März 2013 ersetzt wurde.</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(BVGE 2009/61 E. 6.1; BVGE 2007/41 E. 2 mit Hinweisen: vgl. dazu auch Fritz Gygi, Bundesverwaltungsrechtspflege, 2. Aufl. 1983, S. 212). Dies gilt vorliegend insbesondere für die Frage, ob sich die massgeblichen Bestimmungen in der KVV und KLV auf eine hinreichende gesetzliche Grundlage zu stützen vermögen.</w:t>
      </w:r>
    </w:p>
    <w:p>
      <w:r>
        <w:rPr>
          <w:b/>
        </w:rPr>
        <w:t>E. 5</w:t>
      </w:r>
    </w:p>
    <w:p>
      <w:r>
        <w:t>Materiell umstritten und zu prüfen ist im vorliegenden Verfahren, ob das BAG einerseits zu Recht von der Festlegung eines FAP anhand eines therapeutischen Quervergleichs abgesehen hat und anderseits, ob sie den durchgeführten APV korrekt vorgenommen und gestützt darauf zu Recht eine Senkung der SL-Preise im vorstehend dargelegten Ausmass (vgl. Sachverhalt, Bst. A.i hievor) verfügt hat. Zunächst sind die Rechtsgrundlagen darzulegen; dahingehend, wie sie die Kostenübernahme für Arzneimittel durch die obligatorische Krankenpflegeversicherung (nachfolgend: OKP) regeln (vgl. E. 5.1 - 5.4), und nach welchen Kriterien die Wirtschaftlichkeit eines Arzneimittels im Allgemeinen (vgl. E. 5.5) und im Rahmen ordentlicher Überprüfungen beurteilt wird (vgl. E. 5.6 - 5.8).</w:t>
      </w:r>
    </w:p>
    <w:p>
      <w:r>
        <w:rPr>
          <w:b/>
        </w:rPr>
        <w:t>E. 5.1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5.2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 E. 5.5 und 5.7).</w:t>
      </w:r>
    </w:p>
    <w:p>
      <w:r>
        <w:rPr>
          <w:b/>
        </w:rPr>
        <w:t>E. 5.3</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welches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FAP.</w:t>
      </w:r>
    </w:p>
    <w:p>
      <w:r>
        <w:rPr>
          <w:b/>
        </w:rPr>
        <w:t>E. 5.4</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 Die Anspruchsvoraussetzungen für die Kostenübernahme werden periodisch überprüft (Art. 32 Abs. 2 KVG).</w:t>
      </w:r>
    </w:p>
    <w:p>
      <w:r>
        <w:rPr>
          <w:b/>
        </w:rPr>
        <w:t>E. 5.5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5.6</w:t>
      </w:r>
    </w:p>
    <w:p>
      <w:r>
        <w:t>Die im Rahmen der Aufnahme eines Arzneimittels in die Spezialitätenlisten gestellten Anforderungen müssen während der gesamten Verweildauer des Arzneimittels auf der Spezialitätenliste (analog) erfüllt sein. Die Modalitäten im Zusammenhang mit der Überprüfung alle drei Jahre werden in Art. 65d KVV (in der seit 1. Mai 2012 geltenden Fassung; AS 2012 1767) geregelt. Diese Bestimmung unter dem Titel "Überprüfung der Aufnahmebedingungen alle drei Jahre" lautet wie folgt: "1Das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w:t>
      </w:r>
    </w:p>
    <w:p>
      <w:r>
        <w:rPr>
          <w:b/>
        </w:rPr>
        <w:t>E. 5.7</w:t>
      </w:r>
    </w:p>
    <w:p>
      <w:r>
        <w:t>Die Modalitäten der dreijährlichen Überprüfung werden in Art. 35b KLV (Sachüberschrift "Überprüfung der Aufnahmebedingungen alle drei Jahre") in der seit 1. August 2010 geltenden Fassung (AS 2010 3249) wie folgt geregelt: "1Das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5Für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5.8</w:t>
      </w:r>
    </w:p>
    <w:p>
      <w:r>
        <w:t>Das Bundesverwaltungsgericht hat in BVGE 2015/51 (E. 8.2 und E. 8.3) festgehalten, dass nach dem Willen des Gesetzgebers und der konstanten Praxis des Bundesgerichts bei der dreijährlichen 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5.9</w:t>
      </w:r>
    </w:p>
    <w:p>
      <w:r>
        <w:t>Eine vom BAG gegen dieses Grundsatzurteil erhobene Beschwerde hat das Bundesgericht mit BGE 142 V 26 abgewiesen. Zur Begründung hat das Bundesgericht im Wesentlichen ausgeführt,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 [7-10]."</w:t>
      </w:r>
    </w:p>
    <w:p>
      <w:r>
        <w:rPr>
          <w:b/>
        </w:rPr>
        <w:t>E. 6.1</w:t>
      </w:r>
    </w:p>
    <w:p>
      <w:r>
        <w:t>Mit Blick auf die Schlussfolgerungen im vorstehend dargelegten, vom Bundesgericht bestätigten BVGE 2015/51 steht fest, dass die vom BAG im Rahmen der dreijährlichen Prüfung allein gestützt auf den APV verfügte Preissenkung nicht auf einer ausreichenden Rechtsgrundlage beruht, was auch im vorliegenden Fall zur Aufhebung der angefochtenen Verfügung vom 5. Dezember 2012 führt. Die Streitsache ist demnach an die Vorinstanz zur Vornahme einer neuen, umfassenden Wirtschaftlichkeitsprüfung im Sinne der vorstehenden E. 5.8 zurückzuweisen. Die Überprüfung der Aufnahmebedingungen wird dabei anhand von APV und TQV vorzunehmen sein. Nachdem der APV auch im Rahmen dieser neuen Prüfung zu berücksichtigen ist, drängt sich vorliegend überdies eine Prüfung der von der Beschwerdeführerin gegen den im konkreten Fall vorgenommenen APV erhobenen Einwendungen auf.</w:t>
      </w:r>
    </w:p>
    <w:p>
      <w:r>
        <w:rPr>
          <w:b/>
        </w:rPr>
        <w:t>E. 6.2.1</w:t>
      </w:r>
    </w:p>
    <w:p>
      <w:r>
        <w:t>Die Beschwerdeführerin rügt im Zusammenhang mit dem APV, die Vorinstanz verstosse gegen Art. 35 KLV, wenn sie gestützt auf Ziff. C.3.5 des SL-Handbuchs beim APV Arzneimittel berücksichtige, welche von einem von der Schweizer Zulassungsinhaberin vollkommen unabhängigen Drittunternehmen vertrieben würden. Für den Einbezug des Arzneimittels in den APV sei erforderlich, dass die Zulassungsinhaberin die Preisgestaltung in den Referenzländern überhaupt beeinflussen könne. Im vorliegenden Fall habe sie sämtliche Rechte am Präparat an ein von ihr vollkommen unabhängiges Drittunternehmen (D._______) übertragen. Deshalb könne für das Medikament A._______ ein APV nicht vorgenommen werden. Nach Art. 65 Abs. 1bis KVV habe eine Preisüberprüfung demnach allein aufgrund des TQV zu erfolgen. Wenn Art. 35b Abs. 4 Bst. a KLV statuiere, dass die von der Zulassungsinhaberin einzureichenden FAP von einer zeichnungsberechtigten Person der zuständigen Auslandsvertretung zu bestätigen seien, so setze diese Bestimmung zwingend die Möglichkeit der Zulassungsinhaberin voraus, Einfluss auf den Gegenstand der Vertretung zu nehmen. Ein Missbrauch seitens der Beschwerdeführerin wäre nur möglich, wenn sie Arzneimittel dies- und jenseits der Grenze tatsächlich beeinflussen könne. Eine solche Einflussmöglichkeit sei allerdings nicht mehr gegeben, wenn die Zulassungsinhaberin - wie hier - sämtliche Rechte am Arzneimittel irreversibel an ein von ihr unabhängiges Drittunternehmen übertragen habe (BVGer act. 1, S. 17 - 19; BVGer act. 22, S. 8 ff.; BVGer act. 32, S. 5 ff.).</w:t>
      </w:r>
    </w:p>
    <w:p>
      <w:r>
        <w:rPr>
          <w:b/>
        </w:rPr>
        <w:t>E. 6.2.2</w:t>
      </w:r>
    </w:p>
    <w:p>
      <w:r>
        <w:t>Dagegen wendet die Vorinstanz ein, Art. 35b Abs. 4 Bst. a KLV verlange nicht, dass die Zulassungsinhaberinnen in der Schweiz und im Ausland identisch sein müssten. Art. 35 KLV sehe lediglich vor, dass mit denselben Arzneimitteln in Ländern mit wirtschaftlich vergleichbaren Strukturen im Pharmabereich verglichen werde. Ziff. C.3.5 des SL-Handbuchs schliesse nicht aus, dass in Fällen, in denen keine Auslandsvertretung der Zulassungsinhaberin in der Schweiz vorhanden sei, mit anderen Zulassungsinhaberinnen zu vergleichen, welche das Medikament in den Referenzländern vertreibe. Dass die Beschwerdeführerin keinen Einfluss auf die Preisbildung des Arzneimittels in den Referenzländern habe, schliesse den APV nicht aus. Es sei nirgends vorgeschrieben, dass der Einfluss der Zulassungsinhaberin auf die Preisbildung im Ausland für den APV relevant sei (BVGer act. 18, S. 10 - 13). Art. 35b Abs. 4 Bst. a KLV solle vor allem sicherstellen, dass es sich bei der Bekanntgabe der FAP aus den Referenzländern um eine Bringschuld der Zulassungsinhaberinnen von SL-Arzneimitteln handle. Dass die Beschwerdeführerin alle Rechte am Präparat in den Referenzländern an Drittunternehmen verkauft habe, sei demnach nicht entscheidend. Nachdem das Medikament A._______ in den Referenzländern unbestrittenermassen im Handel sei, müsse vorliegend im Rahmen der dreijährlichen Überprüfung zwingend ein APV durchgeführt werden. Schliesslich begründe die KLV eine hinreichende Grundlage für die entsprechenden Ausführungsbestimmungen im SL-Handbuch (BVGer act. 28, S. 4 f.).</w:t>
      </w:r>
    </w:p>
    <w:p>
      <w:r>
        <w:rPr>
          <w:b/>
        </w:rPr>
        <w:t>E. 6.3</w:t>
      </w:r>
    </w:p>
    <w:p>
      <w:r>
        <w:t>Die Argumentation der Beschwerdeführerin verfängt aus folgenden Gründen nicht:</w:t>
      </w:r>
    </w:p>
    <w:p>
      <w:r>
        <w:rPr>
          <w:b/>
        </w:rPr>
        <w:t>E. 6.3.1</w:t>
      </w:r>
    </w:p>
    <w:p>
      <w:r>
        <w:t>Der Zulassungsinhaberin obliegen nicht nur bei der Aufnahme, sondern auch bei der dreijährlichen Überprüfung erhebliche Mitwirkungspflichten (vgl. auch Art. 13 VwVG). So postuliert Art. 65d Abs. 3 Satz 1 KVV, dass diese dem BAG alle notwendigen Unterlagen zuzustellen hat. Den Erlass näherer Vorschriften zum Verfahren der Überprüfung hat der Bundesrat an das Departement delegiert (Art. 65d Abs. 3 Satz 2 KVV). Gestützt auf diese Delegationsnorm sieht Art. 35b Abs. 4 KLV insbesondere vor, dass die Zulassungsinhaberin dem BAG die von einer zeichnungsberechtigten Person der zuständigen Auslandvertretung der Zulassungsinhaberin bestätigten, am 1. April des Überprüfungsjahres geltenden FAP aller Vergleichsländer (gemäss Art. 35 Abs. 2 KLV) einzureichen hat (Bst. a). Hinsichtlich der Durchführung des APV auferlegt Art. 35 Abs. 3 KLV der Zulassungsinhaberin ferner die Pflicht, den FAP aufgrund von Regelungen von Behörden oder Verbänden zu ermitteln und ihn von einer Behörde oder einem Verband bestätigen zu lassen.</w:t>
      </w:r>
    </w:p>
    <w:p>
      <w:r>
        <w:rPr>
          <w:b/>
        </w:rPr>
        <w:t>E. 6.3.2</w:t>
      </w:r>
    </w:p>
    <w:p>
      <w:r>
        <w:t>Hinsichtlich der hier interessierenden Frage hat das EDI mit Erlass von Art. 35b Abs. 4 KLV eine Regelung getroffen, welche zwar grundsätzlich vom Bestehen einer rechtlichen oder wirtschaftlichen Beziehung zur schweizerischen Zulassungsinhaberin ausgeht. Wie es sich verhält, wenn diese Beziehung nicht (mehr) besteht, geht zwar aus Art. 35b Abs. 4 KLV nicht explizit hervor. Dass die FAP eines ausländischen Anbieters nur dann berücksichtigt werden könnten, wenn die inländische Zulassungsinhaberin aufgrund wirtschaftlicher und/oder rechtlicher Beziehungen zur Zulassungsinhaberin des Vergleichslandes Einfluss auf den ausländischen FAP nehmen kann, lässt sich aus der Systematik des Gesetzes respektive der Verordnungsbestimmung (KVV) nicht ableiten. Art. 35 Abs. 4 Bst. a KLV geht vielmehr vom Regelfall aus, wonach die Zulassungsinhaberin aufgrund ihrer wirtschaftlichen und/oder rechtlichen Verbindung (Konzernverhältnis, Lizenzvertrag etc.) weiterhin in Beziehung zur ausländischen Zulassungsinhaberin des Vergleichslandes steht. Allerdings greifen diese Mitwirkungspflichten grundsätzlich auch, wenn eine solche Beziehung nicht (mehr) besteht. Auch in diesen Fällen hat die Zulassungsinhaberin alles ihr Mögliche und Zumutbare zu unternehmen, um den APV im Vergleichsland zu ermöglichen. Dass in Fällen, wo die Zulassungsinhaberin das Arzneimittel mit allen hiermit verbundenen Rechten und Pflichten auf eine Drittperson im Ausland übertragen hat, ein APV nicht mehr zulässig sein soll, kann entgegen der Argumentation der Beschwerdeführerin nicht angenommen werden (vgl. dazu Urteil des BVGer C-356/2013 vom 24. November 2016 E. 7.5.1) .</w:t>
      </w:r>
    </w:p>
    <w:p>
      <w:r>
        <w:rPr>
          <w:b/>
        </w:rPr>
        <w:t>E. 6.3.3</w:t>
      </w:r>
    </w:p>
    <w:p>
      <w:r>
        <w:t>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abrufbar unter &lt; http://www.parlament.ch/d/organe-mitglieder/kommissionen/parlamentarische-verwaltungskontrolle/Documents/matx-medikamente-total.pdf &gt;, abgerufen am 14.11.2016). Folgte man der Argumentation der Beschwerdeführerin, liefe dies letztlich allein auf eine Missbrauchskontrolle hinaus. Das Bundesgericht hat jedoch bereits unter dem damals geltenden KUVG festgehalten, dass es bei der Wirtschaftlichkeitsprüfung nicht nur um die Verhinderung von Missbräuchen gehe (vgl. BGE 108 V 130 E. 8b mit Hinweise).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Dokumentation &gt; Publikationen &gt; Jahresberichte, abgerufen am 08.12.2016; vgl. dazu auch [zur Publikation bestimmtes] Urteil des BGer 9C_737/2015 vom 13. Oktober 2016 E. 7.2; vgl. dazu auch Urteile des BVGer C-356/2013 vom 24. November 2016 E. 7.5.3; C-5914/2013 vom 26. September 2016 E. 7.3.2; C-6057/2014 vom 9. Mai 2016 E. 5.2.3 und C-32/2015 vom 17. August 2015 E. 6.2.3 und 6.2.4).</w:t>
      </w:r>
    </w:p>
    <w:p>
      <w:r>
        <w:rPr>
          <w:b/>
        </w:rPr>
        <w:t>E. 6.3.4</w:t>
      </w:r>
    </w:p>
    <w:p>
      <w:r>
        <w:t>Wenn in Ziff. C.3.5 des SL-Handbuchs ausgeführt wird, es werde grundsätzlich mit den gleichen Arzneimitteln desselben Unternehmens, einer Tochtergesellschaft oder einer Lizenznehmerin verglichen, so wird auch darin auf den Regelfall Bezug genommen, wonach die Zulassungsinhaberin regelmässig innerhalb international verflochtener Konzernstrukturen tätig ist. Ein APV ist allerdings auch dann zulässig, wenn das Arzneimittel auf einen Rechtsnachfolger (z.B. durch Fusion oder Verkauf der Vertriebsrechte) übertragen worden ist; eine entsprechend weit ausgelegte Mitwirkungspflicht steht Art. 65d Abs. 3 Satz 1 KVV nicht entgegen. So sieht dies auch Ziff. C.3.5 des SL-Handbuchs entsprechend vor, wenn darin ausgeführt wird, dass auch mit Arzneimitteln eines Rechtsnachfolgers (z.B. durch Fusion oder Verkauf der Vertriebsrechte) verglichen werden darf.</w:t>
      </w:r>
    </w:p>
    <w:p>
      <w:r>
        <w:rPr>
          <w:b/>
        </w:rPr>
        <w:t>E. 6.4.1</w:t>
      </w:r>
    </w:p>
    <w:p>
      <w:r>
        <w:t>Die Beschwerdeführerin macht ferner geltend, die Vorinstanz habe in unzulässiger Weise die Referenzländer Dänemark und die Niederlande beim APV nicht berücksichtigt. Zur Begründung bringt sie im Wesentlichen vor, die ihr in der angefochtenen Verfügung auferlegte Verpflichtung, die FAP in den Referenzländern mitzuteilen, sei nur möglich und zulässig, wenn sie überhaupt in der Lage sei, diese über ihre eigene Vertriebsorganisation oder vertraglich gebundene Drittunternehmen erhältlich zu machen. Treffe dies - wie im vorliegenden Fall - nicht zu, so könne sie auch keine entsprechende Pflicht treffen. Dies gelte umso mehr für die damit zusammenhängende weitere Pflicht, im Fall der Verweigerung der Bekanntgabe durch Partner eine schriftliche Bestätigung beizubringen, wie dies nur in Ziff. C.3.5 des SL-Handbuchs vorgesehen sei; dabei sei es nicht zulässig, dass in einer Verwaltungsverordnung neue Pflichten stipuliert würden. Der Beschwerdeführerin sei es zudem aus wettbewerbsrechtlichen Gründen verwehrt, das ausländische Unternehmen (D._______) um Bekanntgabe des FAP für das Medikament A._______ zu ersuchen (BVGer act. 1, S.19 f.; BVGer act. 22, S. 13 - 15).</w:t>
      </w:r>
    </w:p>
    <w:p>
      <w:r>
        <w:rPr>
          <w:b/>
        </w:rPr>
        <w:t>E. 6.4.2</w:t>
      </w:r>
    </w:p>
    <w:p>
      <w:r>
        <w:t>Dagegen wendet die Vorinstanz ein, wie aus der E-Mail-Korrespondenz zwischen ihr und der D._______ hervorgehe, sei es ihr nicht möglich gewesen, die FAP für das Arzneimittel in Dänemark und in den Niederlanden erhältlich zu machen. Vorliegend sei kein Grund ersichtlich, weshalb die Beschwerdeführerin den FAP nicht von der D._______ hätte erfragen können. In Nachachtung ihrer Mitwirkungspflicht sei die Beschwerdeführerin verpflichtet, an der Ermittlung des erheblichen Sachverhalts mitzuwirken, solange ihr dies möglich sei. So habe die Beschwerdeführerin in einem gleich gelagerten Fall (für das Arzneimittel Cibacen) auf Ersuchen des BAG die FAP mitteilen können, obwohl auch dieses Medikament im Ausland durch die D._______ vertrieben werde. Somit sei davon auszugehen, dass es ihr auch im vorliegenden Fall möglich gewesen wäre, die FAP für das Medikament in Dänemark und in den Niederlanden in Erfahrung zu bringen. Ein APV habe zu erfolgen, wenn das gleiche Arzneimittel in den Referenzländern vertrieben werde wie in der Schweiz, unabhängig davon, welche Eigentümerin die Rechte an diesem habe. Die in Ziff. C.3.5 des Handbuchs vorgesehene schriftliche Bestätigung betreffend die von der ausländischen Zulassungsinhaberin verweigerte Auskunft sei sachgerecht und rechtmässig. Die Beschwerdeführerin habe ihr allerdings keine entsprechende schriftliche Bestätigung eingereicht, wonach ihr die angeforderte Preisangabe verweigert worden sei. Somit habe sie den APV nicht mit allen Referenzländern vornehmen können (BVGer act. 18, S. 13 f.; BVGer act. 28, S. 5 f. und S. 11 f.).</w:t>
      </w:r>
    </w:p>
    <w:p>
      <w:r>
        <w:rPr>
          <w:b/>
        </w:rPr>
        <w:t>E. 6.5</w:t>
      </w:r>
    </w:p>
    <w:p>
      <w:r>
        <w:t>Soweit die Beschwerdeführerin pauschal eine Unmöglichkeit respektive Unzumutbarkeit der Mitwirkung geltend macht, überzeugt ihre Argumentation nicht. Zu beachten gilt es insbesondere, dass der Bundesrat dem Departement bezüglich der Preisüberprüfung weitreichende Vollzugskompetenzen zugestanden hat (vgl. dazu Art. 65d Abs. 3 Satz 2 KVV) und der Zulassungsinhaberin nicht nur bei der Aufnahme, sondern auch bei der dreijährlichen Überprüfung erhebliche Mitwirkungspflichten obliegen (vgl. Art. 13 VwVG). Eine Beschränkung der Mitwirkungspflicht ausschliesslich auf Fälle, in denen die Zulassungsinhaberin weiterhin in rechtlicher oder wirtschaftlicher Beziehung zur ausländischen Zulassungsinhaberin steht, stünde auch im Widerspruch zum legislatorischen Zweck, welcher das Gebot der Wirtschaftlichkeit als eine der Voraussetzungen für die Kostenübernahme (Art. 32 Abs. 1 und 2 KVG) postuliert und überdies auf eine qualitativ hochstehende und zweckmässige gesundheitliche Versorgung zu möglichst günstigen Kosten (Art. 43 Abs. 6 KVG), auf eine wirtschaftliche Bemessung von Tarifen und Preisen (Art. 43 Abs. 7 KVG) und - damit einhergehend - eine Kosteneindämmung im Gesundheitswesen (vgl. dazu BVGE 2015/51 E. 4.2 mit Hinweisen) abzielt. Überdies legt die Beschwerdeführerin nicht substanziiert dar, inwiefern die im Rahmen der Mitwirkungspflicht gebotene Anfrage eines FAP bereits zu wettbewerbsrechtlichen Problemen führen soll. Die Argumentation der Beschwerdeführerin ist umso weniger nachvollziehbar, als sie im Zusammenhang mit der ausserordentlichen Überprüfung des Jahres 2009 ohne Weiteres imstande war, die entsprechenden Daten von der niederländischen Zulassungsinhaberin in Erfahrung zu bringen. Weshalb dies hier nicht möglich sein soll, wurde von ihr nicht substanziiert begründet. Wenn in Ziff. C.3.5 des SL-Handbuchs für den Fall der Verweigerung der Preisangabe durch die ausländische Zulassungsinhaberin ein entsprechender schriftlicher Beleg als Nachweis gefordert wird, so ist diese Vorgehensweise - entgegen der Argumentation der Beschwerdeführerin - in jedem Fall durch die in Art. 65d Abs. 3 Satz 1 KVV verankerte weitreichende Mitwirkungspflicht abgedeckt. Eine (unzulässige) Begründung neuer Rechtspflichten auf dem Weg der Verwaltungsverordnung kann darin nicht erblickt werden. Vielmehr handelt es sich um eine Präzisierung, welche sich im Interesse des gesetzgeberischen Ziels der Kosteneindämmung, einer einheitlichen Verwaltungspraxis und der Rechtssicherheit durchaus als zulässig und sinnvoll erweist (Urteil des BVGer C-356/2013 E. 8.3.3 ff.).</w:t>
      </w:r>
    </w:p>
    <w:p>
      <w:r>
        <w:rPr>
          <w:b/>
        </w:rPr>
        <w:t>E. 6.6</w:t>
      </w:r>
    </w:p>
    <w:p>
      <w:r>
        <w:t>Dass die Vorinstanz unter diesen Umständen den APV auf die vier Referenzländer Deutschland, Österreich, Frankreich und Grossbritannien beschränkt hat, ohne die FAP des Präparates in Dänemark und den Niederlanden zu berücksichtigen, ist demnach nicht zu beanstanden (vgl. dazu auch Ziff. C.3.1 des SL-Handbuchs: "in der Regel").</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Die Vornahme des APV setzt nicht zwingend voraus, dass die ausländische Zulassungsinhaberin nach wie vor wirtschaftlich (z.B. als Konzerntochter) oder rechtlich (z.B. als Lizenznehmerin) mit der schweizerischen Zulassungsinhaberin verbunden ist. Falls der APV mit einem der Referenzländer nicht durchgeführt werden kann, darf das BAG beim APV auch auf das Ergebnis aus dem Vergleich mit weniger als sechs Referenzländern (hier: Deutschland, Österreich, Frankreich und Grossbritannien) abstellen. Wenn Ziff. C.3.5 des SL-Handbuchs für den Fall der Verweigerung der Preisangabe durch die ausländische Zulassungsinhaberin das BAG ermächtigt, von dieser einen entsprechenden schriftlichen Beleg zu fordern, so ist diese Kompetenz von den der Zulassungsinhaberin obliegenden weitreichenden Mitwirkungspflicht gedeckt. Aus den dargelegten Gründen ist die Beschwerde in dem Sinne gutzuheissen, als die Angelegenheit, wie ausgeführt, in Aufhebung der angefochtenen Verfügung an die Vorinstanz zur Vornahme einer umfassenden Prüfung der Aufnahmebedingungen (unter Einschluss von APV und TQV) und anschliessend neuer Verfügung zurückzuweisen ist.</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beschwerdeführenden Partei,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8.2.1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8.2.2</w:t>
      </w:r>
    </w:p>
    <w:p>
      <w:r>
        <w:t>Gemäss Kostennote vom 26. Juni 2014 macht die Beschwerdeführerin einen Vertretungsaufwand von 51.45 Stunden, Stundenansätze von Fr. 400.- für Rechtsanwalt Dr. Markus Schott bzw. Fr. 300.- für Rechtsanwältin Fabienne Gribi und Rechtsanwalt Philippe Fuchs und Fr. 100.- für Christian Moser sowie Mehrwertsteuer von Fr. 1'324.- (8 % von Fr. 16'550.-) geltend (Beilage zu BVGer act. 36). Im Einzelnen werden im Zusammenhang mit der 39-seitigen Beschwerde ein Arbeitsaufwand von 5.60 Stunden, für die Ausarbeitung der 17-seitigen Replik (ohne Telefonate mit der Klientin und ohne Fristerstreckungsgesuche) 27.80 Std. und für die Erstellung der 11-seitigen Triplik 10.40 Std., total 51.45 Stunden (inkl. weiterer Korrespondenzen und Telefonate), geltend gemacht. Der Ersatz von Auslagen wird nicht verlangt.</w:t>
      </w:r>
    </w:p>
    <w:p>
      <w:r>
        <w:rPr>
          <w:b/>
        </w:rPr>
        <w:t>E. 8.2.3</w:t>
      </w:r>
    </w:p>
    <w:p>
      <w:r>
        <w:t>Zunächst ist festzuhalten, dass die Notwendigkeit einer Vertretung durch mehrere Rechtsanwälte weder ersichtlich noch begründet ist. Der durch diese Mehrfachvertretung verursachte zusätzliche Aufwand kann daher nicht entschädigt werden. Sodann erscheint der für die Erstellung der Triplik und insbesondere der Replik geltend gemachte Aufwand als überhöht, zumal der massgebliche Sachverhalt und die sich stellenden Rechtsfragen mehrheitlich bereits im vorinstanzlichen Verfahren dargelegt wurden, in erster Linie Gegenstand der Beschwerdeschrift bilden und dort auch vorgebracht wurden. Der Aufwand für blosse Wiederholungen von bereits in der Beschwerdeschrift Dargelegtem ist jedenfalls nicht zu entschädigen. Das vorliegende Verfahren weist zudem im Quervergleich mit ähnlichen Fällen weder eine besondere Bedeutung noch ausserordentliche Schwierigkeiten auf. Der Aktenumfang ist durchschnittlich. Es wurde zwar ein dreifacher Schriftenwechsel durchgeführt, allerdings stellen sich vorliegend im Wesentlichen dieselben Fragen wie in den weiteren von der Beschwerdeführerin vor Bundesverwaltungsgericht angefochtenen Fällen (vgl. dazu insbesondere Verfahrens-Nrn. C-32/2013; C-35/2013 und C-1124/2013). Unter Berücksichtigung des gebotenen und aktenkundigen Aufwands, der Bedeutung der Streitsache und der Schwierigkeit der vorliegend zu beurteilenden Fragen, ist der Beschwerdeführerin zu Lasten der Vorinstanz eine Parteientschädigung von Fr. 8'000.- (inkl. Mehrwertsteuerzuschlag im Sinne von Art. 9 Abs. 1 Bst. c VGKE) als angemessen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