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C-3498/2012 vom 28. Februar 2013</w:t>
      </w:r>
    </w:p>
    <w:p>
      <w:r>
        <w:t>Bundesverwaltungsgericht, 2013-02-28, FR</w:t>
      </w:r>
    </w:p>
    <w:p>
      <w:r>
        <w:rPr>
          <w:b/>
        </w:rPr>
        <w:t xml:space="preserve">Quelle: </w:t>
      </w:r>
      <w:r>
        <w:t>https://mcp.opencaselaw.ch/entscheid/bvger_C-3498_2012</w:t>
      </w:r>
    </w:p>
    <w:p>
      <w:r>
        <w:t>FR: TAF C-3498/2012 du 28 février 2013</w:t>
      </w:r>
    </w:p>
    <w:p>
      <w:r>
        <w:t>IT: TAF C-3498/2012 del 28 febbraio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Il n'appert pas clairement de l'écrit daté du 17 avril 2012 si B._______ entendait aussi former opposition au nom de sa cousine ou uniquement en son propre nom, question qui aurait dû être élucidée par l'ODM. Toutefois, dans la mesure où A._______ est spécialement atteinte par le rejet de la demande de visa et où elle a un intérêt digne de protection à l'annulation de la décision attaquée, la question de savoir si elle a pris part à la procédure d'opposition, au sens de l'art. 48 al. 1 let. a PA, peut rester ouverte en l'occurrence, le recours devant de toute manière être rejeté.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2011/43 consid. 6.1 et 2011/1 consid. 2).</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voir également ATF 135 II 1 consid. 1.1 et ATAF 2009/27 consid. 3, ainsi que la jurispr. cit.). 4.Les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 5.Le Règlement (CE) no 539/2001 du Conseil du 15 mars 2001 (JO L 81 du 21 mars 2001, p. 1-7) différencie, en son art. 1 par. 1 et 2, les ressortissants des Etats tiers selon qu'ils sont soumis ou non à l'obligation du visa. En tant que ressortissante du Vietnam, A._______ est soumise à l'obligation du visa. 6.Il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Dans ce contexte, il est à noter que,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l'intéressée, dans la mesure où il ne peut être exclu qu'une situation politiquement, socialement ou économiquement moins favorisée que celle que connaît la Suisse puisse influencer le comportement de la personne invitée.</w:t>
      </w:r>
    </w:p>
    <w:p>
      <w:r>
        <w:rPr>
          <w:b/>
        </w:rPr>
        <w:t>E. 7.1</w:t>
      </w:r>
    </w:p>
    <w:p>
      <w:r>
        <w:t>En l'espèce, l'ODM a estimé que la sortie de Suisse de A._______ au terme du séjour sollicité n'était pas suffisamment assurée, au vu de sa situation personnelle et de la situation socio-économique prévalant dans son pays d'origine. A l'instar de la recourante, le Tribunal constate que le Vietnam jouit sans doute d'une économie qui compte parmi les plus dynamiques de la région, de sorte que l'appréciation faite par l'autorité inférieure sur ce point doit être passablement nuancée. Il n'en demeure pas moins que les défis auxquels doit faire face ce pays sont avant tout d'ordre social, en ce sens que la démographie vietnamienne est caractérisée par une jeunesse nombreuse (56% de la population a moins de trente ans), avec un million de jeunes arrivant chaque année sur le marché du travail, ce qui pose à la fois la question de la création d'emplois et de la qualification professionnelle des jeunes. A ce constat s'ajoutent les inégalités croissantes, nées d'un boom économique qui profite surtout aux villes (cf. www.diplomatie.gouv.fr &gt; Pays et zones géo &gt; Vietnam, mise à jour: 30 décembre 2011, site consulté en février 2013). Au vu de ce qui précède, le Tribunal ne saurait d'emblée écarter les craintes émises par l'autorité inférieure de voir A._______ chercher à prolonger son séjour en Suisse ou dans l'Espace Schengen au-delà de la validité du visa sollicité, cela d'autant moins que l'intéressée ne semble bénéficier d'aucune formation professionnelle particulière dans sa patrie, au vu des pièces figurant au dossier. Si l'on ajoute la situation préoccupante prévalant au Vietnam sur le plan des droits de l'Homme (ibidem), il est permis de conclure que les problèmes sociaux-économiques auxquels est confronté ce pays entraîne inévitablement une forte pression migratoire, pression encore renforcée, comme l'expérience l'a démontré, lorsque la personne concernée peut s'appuyer à l'étranger sur un réseau social (parents, amis) préexistant. Toutefois, cette situation dans le pays d'origine de la requérante ne suffit pas, à elle seule, à conclure à l'absence de garantie quant à la sortie de Suisse et de l'Espace Schengen à l'issue du séjour projeté, toutes les particularités du cas d'espèce devant être prises en considération.</w:t>
      </w:r>
    </w:p>
    <w:p>
      <w:r>
        <w:rPr>
          <w:b/>
        </w:rPr>
        <w:t>E. 7.2</w:t>
      </w:r>
    </w:p>
    <w:p>
      <w:r>
        <w:t>Il convient donc d'examiner particulièrement les attaches professionnelles et personnelles dont A._______ peut se prévaloir au Vietnam. A cet égard, sans vouloir minimiser l'importance des motifs d'ordre familial et touristique sur lesquels la prénommée fonde sa demande d'autorisation d'entrée en Suisse, le Tribunal ne saurait admettre, au vu de l'ensemble des éléments du dossier, que sa sortie du territoire helvétique au terme du séjour envisagé soit suffisamment garantie. Certes, la recourante indique dans le cadre de la procédure de recours qu'une société active dans l'importation de matériel pour la couture et l'habillement l'emploie, à raison de quinze heures par semaine, et qu'elle a travaillé "à plusieurs reprises" au sein de la pharmacie appartenant à sa famille. Dans ce contexte, elle souligne que ces deux employeurs sont disposés à l'engager comme auparavant, dès son retour au Vietnam (cf. mémoire de recours, pp. 2 et 3), de sorte qu'elle estime n'avoir "absolument aucune inquiétude à avoir quant à ses perspectives d'emploi au Vietnam" (ibidem, p. 9). Il convient sur ce point de relever, d'une part, que la recourante n'a fourni aucune indication concrète quant aux revenus qu'elle est censée tirer de ses activités professionnelles au Vietnam. D'autre part, il faut bien admettre que le fait d'occuper un emploi, à raison de quinze heures par semaine seulement, paraît nettement insuffisant pour permettre à l'intéressée de faire face aux dépenses courantes, même si, comme elle le prétend, elle n'a pas de loyer à payer. L'argument tiré du fait que le taux d'activité de la requérante pourrait augmenter en fonction du volume des affaires de la société qui l'emploie (cf. ibidem, p. 2) n'est point de nature à modifier l'analyse faite ci-dessus, car cet élément est réellement aléatoire et ne dépend pas de A._______. D'autre part, la possibilité d'être à nouveau engagée dans la pharmacie familiale est elle aussi fortement aléatoire, puisque selon l'attestation du 15 juin 2012 figurant au dossier, un éventuel nouvel emploi dépendrait de la conjoncture et des besoins de l'établissement. Au demeurant, il appert du dossier que l'intéressée, lors du dépôt de sa demande de visa à l'Ambassade de Suisse à Hanoi le 1er mars 2012, n'a fait mention ni des activités professionnelles déployées dans son pays d'origine, ni des employeurs mis en évidence dans son mémoire de recours, ayant alors simplement indiqué être femme au foyer ("housewife"; cf. formulaire "Application for Schengen Visa", rubriques nos 19 et 20). Aussi pareille incohérence est-elle de nature à jeter un certain doute sur les réelles intentions de l'intéressée quant à sa venue en Suisse. Au vu de ce qui précède, le Tribunal est fondé à considérer que la recourante n'a pas démontré avoir dans son pays une activité professionnelle stable susceptible de garantir, notamment dans le contexte politique et social difficile dans lequel se trouve le Vietnam, son retour dans cet Etat. En effet, compte tenu des circonstances socio-économiques évoquées plus haut, les autorités helvétiques ne peuvent totalement exclure que l'intéressée ne s'efforce, une fois entrée en ce pays, d'obtenir un titre de séjour dans l'espoir d'y trouver des conditions d'existence meilleures que celle prévalant dans son pays d'origine. Il ne faut pas perdre de vue en effet que cette différence de niveau de vie peut s'avérer déterminante lorsque l'on prend la décision de quitter sa patrie. A ce propos, le Tribunal ne décèle aucun élément dans le dossier permettant de conclure que la situation matérielle de A._______ se trouverait péjorée si celle-ci prenait la décision de demeurer sur le territoire suisse à l'expiration de son visa, cela d'autant moins que la prénommée est jeune (vingt-neuf ans) et célibataire. L'argument tiré de la présence de son frère dans la maison familiale n'est point susceptible de modifier cette analyse, cela d'autant moins que les attaches familiales dont se prévaut la recourante se sont passablement distendues depuis le départ de ses parents dans le sud du Vietnam (cf. mémoire de recours, pp. 2, 8 et 9). A cet égard, A._______ n'est pas elle-même propriétaire immobilière dans son pays, de sorte que le fait qu'elle ne paie pas de loyer n'est pas particulièrement constitutif d'attaches étroites. Quant à la présence de plusieurs membres de sa famille dans le canton de Genève (ibidem, p. 3), elle pourrait constituer un élément propre à favoriser l'éventuelle installation de la recourante en Suisse. 8.Cela étant, le désir exprimé par A._______, au demeurant parfaitement compréhensible, de venir en Suisse pour y effectuer un séjour familial et touristique ne constitue pas à lui seul un motif justifiant l'octroi d'un visa, à propos duquel elle ne saurait par ailleurs se prévaloir d'aucun droit (cf. supra consid. 3). 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invité(e). Les assurances données en la matière, comme celles formulées notamment sur le plan financier par les personnes invitantes (cf. mémoire de recours, pp. 3ss),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 Enfin, il convient de noter qu'un refus d'autorisation d'entrée dans l'Espace Schengen prononcé par les autorités helvétiques n'a pas en l'occurrence pour conséquence d'empêcher la requérante de maintenir des relations familiales, les intéressés pouvant tout aussi bien se rencontrer hors de Suisse, ce nonobstant les inconvénients d'ordre pratique ou de convenance personnelle que cela pourrait engendrer.</w:t>
      </w:r>
    </w:p>
    <w:p>
      <w:r>
        <w:rPr>
          <w:b/>
        </w:rPr>
        <w:t>E. 9</w:t>
      </w:r>
    </w:p>
    <w:p>
      <w:r>
        <w:t>En conclusion, au vu de l'ensemble des circonstances du cas d'espèce, le Tribunal estime qu'il ne saurait être reproché à l'ODM d'avoir considéré que le départ de Suisse de A._______ à l'échéance du visa requis n'était pas suffisamment assuré et, partant, d'avoir refusé la délivrance d'une autorisation d'entrée dans l'espace Schengen en sa faveur. Il s'ensuit que la décision de l'ODM du 23 mai 2012 est conforme au droit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