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C-3498/2010 vom 7. Januar 2013</w:t>
      </w:r>
    </w:p>
    <w:p>
      <w:r>
        <w:t>Bundesverwaltungsgericht, 2013-01-07, DE</w:t>
      </w:r>
    </w:p>
    <w:p>
      <w:r>
        <w:rPr>
          <w:b/>
        </w:rPr>
        <w:t xml:space="preserve">Quelle: </w:t>
      </w:r>
      <w:r>
        <w:t>https://mcp.opencaselaw.ch/entscheid/bvger_C-3498_2010</w:t>
      </w:r>
    </w:p>
    <w:p>
      <w:r>
        <w:t>FR: TAF C-3498/2010 du 7 janvier 2013</w:t>
      </w:r>
    </w:p>
    <w:p>
      <w:r>
        <w:t>IT: TAF C-3498/2010 del 7 gennaio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was in Art. 1 IVG bejaht wird, soweit das IVG nicht ausdrücklich eine Abweichung vom ATSG vorsieht.</w:t>
      </w:r>
    </w:p>
    <w:p>
      <w:r>
        <w:rPr>
          <w:b/>
        </w:rPr>
        <w:t>E. 1.3</w:t>
      </w:r>
    </w:p>
    <w:p>
      <w:r>
        <w:t>Die Beschwerde wurde frist- und formgerecht eingereicht (vgl. Art. 22a VwVG in Verbindung mit Art. 60 ATSG und Art. 52 Abs. 1 VwVG). Als Adressat der angefochtenen Verfügung vom 9. April 2010 (act. 169) ist der Beschwerdeführer berührt und hat ein schutzwürdiges Interesse an deren Aufhebung oder Änderung (vgl. Art. 59 ATSG). Damit sind sämtliche Prozessvoraussetzungen erfüllt. Auf die Beschwerde ist einzutreten.</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verschiedenen Nachfolgestaaten des ehe­maligen Jugoslawiens, nicht aber mit der Republik Serbien neue Abkommen über die Soziale Sicherheit abgeschlos­sen. Für den Beschwerdeführer als serbischer Staatsangehöriger mit Wohnsitz in (...), Serbien (act. 87), findet demnach weiterhin das schweizerisch-jugoslawische Sozialversicherungsab­kommen vom 8. Juni 1962 Anwendung (vgl. Urteil des Bundesgerichts 8C_321/2012 vom 14. August 2012 E. 1.2; Urteil des Bundesverwaltungsgerichts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aufgrund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w:t>
      </w:r>
    </w:p>
    <w:p>
      <w:r>
        <w:rPr>
          <w:b/>
        </w:rPr>
        <w:t>E. 2.3</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eintritt.</w:t>
      </w:r>
    </w:p>
    <w:p>
      <w:r>
        <w:rPr>
          <w:b/>
        </w:rPr>
        <w:t>E. 2.4</w:t>
      </w:r>
    </w:p>
    <w:p>
      <w:r>
        <w:t>Der Beschwerdeführer hat unbestrittenermassen während mehr als drei Jahren Beiträge an die AHV/IV geleistet (act. 13),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4.1</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 S. 62 E. 4 b/cc).</w:t>
      </w:r>
    </w:p>
    <w:p>
      <w:r>
        <w:rPr>
          <w:b/>
        </w:rPr>
        <w:t>E. 4.2</w:t>
      </w:r>
    </w:p>
    <w:p>
      <w:r>
        <w:t>Hinsichtlich des Beweiswertes eines Arztberichtes ist entscheidend, ob der Bericht für die streitigen Belange umfassend ist, auf allseitigen Untersuchungen beruht, auch die geklagten Beschwerden berücksichtigt, in Kenntnis der Vorakten (Anamnese) abgegeben wurde, in der Beurteilung der medizinischen Situation einleuchtet und ob die Schlussfolgerungen des Experten begründet erscheinen (BGE 125 V 351 E. 3a).</w:t>
      </w:r>
    </w:p>
    <w:p>
      <w:r>
        <w:rPr>
          <w:b/>
        </w:rPr>
        <w:t>E. 4.3</w:t>
      </w:r>
    </w:p>
    <w:p>
      <w:r>
        <w:t>Auf Stellungnahmen des RAD resp. der medizinischen Dienste kann für den Fall, dass ihnen materiell Gutachtensqualität zukommen soll, nur abgestellt werden, wenn sie den allgemeinen beweisrechtlichen Anforderungen an einen ärztlichen Bericht genügen (Urteil EVG I 694/05 vom 15. Dezember 2006 E. 2).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4.4</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Bundesgerichts 8C_168/2008 vom 11. August 2008 E. 6.2.2 und 8C_189/2008 vom 4. Juli 2008 E. 5 mit Hinweisen).</w:t>
      </w:r>
    </w:p>
    <w:p>
      <w:r>
        <w:rPr>
          <w:b/>
        </w:rPr>
        <w:t>E. 5</w:t>
      </w:r>
    </w:p>
    <w:p>
      <w:r>
        <w:t>Die Vorinstanz beruft sich für ihre Verfügung auf das Gutachten der C._______ vom 16. November 2009 (act. 154). Das C._______-Gutachten, welches von Dr. med. D._______ und Dr. med. E._______ unterzeichnet wurde, stützt sich auf ein rheumatologisches Konsilium vom 14. September 2009 von Dr. med. E._______ (act. 152) und ein psychiatrisches Konsilium vom 21. September 2009 von Dr. med. F._______ (act. 153). Am 23. Oktober 2009 fand ausserdem eine Schlussbesprechung von Dr. D._______ und Dr. E._______ statt (vgl. act. 154, S. 15).</w:t>
      </w:r>
    </w:p>
    <w:p>
      <w:r>
        <w:rPr>
          <w:b/>
        </w:rPr>
        <w:t>E. 5.1</w:t>
      </w:r>
    </w:p>
    <w:p>
      <w:r>
        <w:t>Dr. E._______, Facharzt für physikalische Medizin und Rehabilitation FMH, diagnostizierte im rheumatologischen Konsilium vom 9. September 2009 (act. 152) ein chronisches lumbospondylogenes Schmerzsyndrom mit Segmentdegeneration L3/4 mit Diskusprotrusion ohne sichere Neurokom-pression und leichtgradige Osteochondrosen L3/4 und L4/5 (act. 152, S. 5). Er verneinte eine Arbeitsfähigkeit im angestammten Beruf, ging jedoch in einer Verweistätigkeit weiterhin von einer vollumfänglichen Arbeitsfähigkeit in körperlich leichten bis mittelschweren Arbeiten mit Gewichtsbelastungen bis 15 kg aus.</w:t>
      </w:r>
    </w:p>
    <w:p>
      <w:r>
        <w:rPr>
          <w:b/>
        </w:rPr>
        <w:t>E. 5.2</w:t>
      </w:r>
    </w:p>
    <w:p>
      <w:r>
        <w:t>Dr. F._______, Facharzt für Psychiatrie und Psychotherapie FMH, stellte in seinem Konsilium vom 21. September 2009 (act. 153) keine Diagnose mit Auswirkung auf die Arbeitsfähigkeit, hingegen hielt er fest, dass die diagnostischen Kriterien für eine chronische Schmerzstörung mit somatischen und psychischen Faktoren (ICD-10 F 45.41) beim Beschwerdeführer nur grenzwertig erfüllt seien. Dabei sei ihm gestützt auf die Foersterschen Kriterien die Willensanspannung zur Überwindung der Schmerzen zumutbar (act. 153, S. 7 ff.). Bezüglich der Arbeitsfähigkeit hielt er aus psychiatrischer Sicht keine Einschränkung der Arbeitsfähigkeit für begründbar, weder in der angestammten, noch in einer Verweistätigkeit (act. 153, S. 11).</w:t>
      </w:r>
    </w:p>
    <w:p>
      <w:r>
        <w:rPr>
          <w:b/>
        </w:rPr>
        <w:t>E. 5.3</w:t>
      </w:r>
    </w:p>
    <w:p>
      <w:r>
        <w:t>Der RAD-Arzt Dr. G._______, Facharzt für allgemeine innere Medizin, beurteilte das C._______-Gutachten als umfassend und einleuchtend und übernahm in seiner Stellungnahme zu Handen der Vorinstanz sowohl die darin enthaltenen Diagnosen als auch die Beurteilung der Arbeitsfähigkeit (act. 159).</w:t>
      </w:r>
    </w:p>
    <w:p>
      <w:r>
        <w:rPr>
          <w:b/>
        </w:rPr>
        <w:t>E. 6</w:t>
      </w:r>
    </w:p>
    <w:p>
      <w:r>
        <w:t>Der Beschwerdeführer liess im Wesentlichen vorbringen, dass das C._______-Gutachten im medizinischen Teil ungenügend und widersprüchlich sei. Es seien lediglich die Beschwerden bezüglich der Wirbelkörper L3/4 und L 4/5 berücksichtigt, die anderen Beschwerden seien ignoriert worden; auch habe der Psychiater keine Tests durchführen wollen. Bereits im Bericht der H._______ vom 5. November 2004 sei eine Arbeitsunfähigkeit zufolge der psychischen Erkrankung von 30% festgestellt worden. Auch Dr. I._______ habe befunden, dass der Beschwerdeführer nicht mehr für schwere körperliche Arbeit einsetzbar sei. Seither habe sich der gesundheitliche Zustand chronifiziert und verschlechtert. Auch die Berichte der serbischen J._______ und K._______ in (...) gingen von einer dauernden Arbeitsunfähigkeit des Beschwerdeführers aus. Dazu kämen die enormen psychischen Beschwerden; der Beschwerdeführer habe sich aus dem Sozialleben total zurückgezogen (B-act. 1 und B-act. 11).</w:t>
      </w:r>
    </w:p>
    <w:p>
      <w:r>
        <w:rPr>
          <w:b/>
        </w:rPr>
        <w:t>E. 7</w:t>
      </w:r>
    </w:p>
    <w:p>
      <w:r>
        <w:t>Nach Ansicht des Bundesverwaltungsgerichts erfüllt das C._______-Gutachten die an den vollen Beweiswert eines ärztlichen Gutachtens gestellten Kriterien, wie gleich im Anschluss zu zeigen sein wird. Sowohl das rheumatologische wie auch das psychiatrische Teilgutachten beruhen auf umfassenden Abklärungen und setzen sich eingehend mit dem Versicherten und seinen Beschwerden auseinander. Auch wurde das Gutachten nicht nur in Kenntnis der Vorakten erstellt, sondern es fasst diese auch ausführlich zusammen. Insoweit das Gutachten von anderen ärztlichen Diagnosen abweicht, nimmt es detailliert Stellung zu den widersprechenden älteren Diagnosen.</w:t>
      </w:r>
    </w:p>
    <w:p>
      <w:r>
        <w:rPr>
          <w:b/>
        </w:rPr>
        <w:t>E. 7.1</w:t>
      </w:r>
    </w:p>
    <w:p>
      <w:r>
        <w:t>Insbesondere wird ausführlich auf die Diagnose einer somatoformen Schmerzstörung im Bericht vom 5. November 2004 der H._______ von Dr. L._______ (act. 44) eingegangen (vgl. act. 153, S. 8 f.). Dr. F._______ prüfte im psychiatrischen Konsilium zunächst eingehend, ob psychiatrische Erkrankungen aus dem psychotischen Formenkreis, eine posttraumatische Belastungsstörung oder konversionsneurotische Störungen vorliegen und verneinte diese Frage anhand einer ausführlichen Begründung (vgl. act. 153, S. 9). Ebenso überprüfte er das Vorliegen einer somatoformen Schmerzstörung anhand der Tabelle von Oliveri et Alteri (vgl. act. 153, Anhang) und verneinte auch diese Frage, hingegen bejahte er bei einem vorausgesetzten somatischen Substrat des lumbospondylogenen Schmerzsyndroms eine chronische Schmerzstörung mit somatischen und psychischen Faktoren (ICD-10 F 45.41) knapp (vgl. act. 153, S. 9 unten). Auch bejahte er die Zumutbarkeit der Willensanspannung zur Überwindung der Schmerzstörung anhand der Foersterschen Kriterien. Dieses stufenweise Vorgehen erscheint sachlich richtig, logisch und nachvollziehbar.</w:t>
      </w:r>
    </w:p>
    <w:p>
      <w:r>
        <w:rPr>
          <w:b/>
        </w:rPr>
        <w:t>E. 7.2.1</w:t>
      </w:r>
    </w:p>
    <w:p>
      <w:r>
        <w:t>Dr. E._______ nahm in seinem Konsilium allseitige Untersuchungen vor und begründete seine Diagnosen umfassend (act. 152). Auch wird seitens Dr. E._______s auf den Brief von Dr. I._______ vom 24. Januar 2004 (act. 37) bzw. seinen Bericht vom 4. Juni 2005 (act. 56) und die entsprechenden Diagnosen eingegangen (vgl. act. 152, S. 5 ff.). Dr. E._______ hält zunächst fest, dass sich Dr. I._______ in seinem Brief vom 24. Januar 2004 (act. 37) auf die MRI-Untersuchung vom 23. Januar 2004 beziehe und ausführe, diese zeige "eine deutliche Diskushernie L3/L4 links" und er empfehle eine operative Therapie. Im Bericht vom 4. Juni 2005 (act. 56) gehe der Arzt dann aber - wiederum bei der Beurteilung der MRI-Untersuchung vom 23. Januar 2004 - von einer Diskusprotrusion L3/L4, von degenerativen Veränderungen der Bandscheiben L4/5 und L5/S1 ohne Hinweise auf eine foraminale oder spinale Stenose aus (vgl. act. 152, S. 4).</w:t>
      </w:r>
    </w:p>
    <w:p>
      <w:r>
        <w:rPr>
          <w:b/>
        </w:rPr>
        <w:t>E. 7.2.2</w:t>
      </w:r>
    </w:p>
    <w:p>
      <w:r>
        <w:t>Dieser Widerspruch zwischen den beiden Diagnosen von Dr. I._______ wurde von Dr. E._______ korrekt wiedergegeben. Auch hätte dem noch beigefügt werden können, dass Dr. I._______ in seinem Arztbericht vom 4. Juni 2005 (act. 56, S. 1) bei den Diagnosen eine "Diskushernie L3/L4 links" angibt, ohne dass aus dem Bericht klar würde, woher diese Diagnose kommt, da sie dann hinten bei "Erhobene Befunde" (S. 3) nicht aufgeführt wird. Insofern kann auf die Berichte von Dr. I._______ von vornherein nicht abgestellt werden, da sie nicht begründet und auch nicht konsistent erscheinen.</w:t>
      </w:r>
    </w:p>
    <w:p>
      <w:r>
        <w:rPr>
          <w:b/>
        </w:rPr>
        <w:t>E. 7.2.3</w:t>
      </w:r>
    </w:p>
    <w:p>
      <w:r>
        <w:t>Die Einschätzung von Dr. E._______ in seinem Konsilium zum Gesundheitszustand des Beschwerdeführers ist als umfassend und nachvollziehbar zu qualifizieren.</w:t>
      </w:r>
    </w:p>
    <w:p>
      <w:r>
        <w:rPr>
          <w:b/>
        </w:rPr>
        <w:t>E. 7.3</w:t>
      </w:r>
    </w:p>
    <w:p>
      <w:r>
        <w:t>Insgesamt erscheinen sowohl die Darlegung der medizinischen Zusammenhänge, der medizinischen Diagnosen als auch die Einschätzung der Arbeitsfähigkeit bzw. die Schlussfolgerungen im C._______-Gutachten einleuchtend, überzeugend und ausführlich begründet. Das Gutachten der C._______ verfügt aus all diesen Gründen über volle Beweiskraft. Entgegen den Vorbringen des Beschwerdeführers wurden die geltend gemachten Beschwerden nicht "ignoriert", sondern umfassend abgeklärt.</w:t>
      </w:r>
    </w:p>
    <w:p>
      <w:r>
        <w:rPr>
          <w:b/>
        </w:rPr>
        <w:t>E. 7.4</w:t>
      </w:r>
    </w:p>
    <w:p>
      <w:r>
        <w:t>Die neuen, vom Beschwerdeführer nach dem Vorbescheid vom 3. Februar 2010 (act. 162) eingereichten medizinischen Berichte datieren vom 28. Januar bzw. vom 1. März 2010 (act. 163 bzw. act. 165). Es ist zu prüfen, ob die beiden Berichte an der Einschätzung des Gesundheitszustandes des Beschwerdeführers etwas zu ändern vermögen.</w:t>
      </w:r>
    </w:p>
    <w:p>
      <w:r>
        <w:rPr>
          <w:b/>
        </w:rPr>
        <w:t>E. 7.4.1</w:t>
      </w:r>
    </w:p>
    <w:p>
      <w:r>
        <w:t>Der Bericht der K._______ in (...) vom 28. Januar 2010 (act. 163, mit Übersetzung) diagnostizierte im Wesentlichen eine degenerative Erkrankung der Wirbelsäule, eine multisegmentale zervikale und lumbale Discarthrose. Im zweiten Teil des Berichts vom 4. Februar 2010 (act. 163, unten) wurde sodann bei der Discarthrose L5/S1 eine Diskushernie sowie eine fortgeschrittene degenerative Veränderung in mehreren Segmenten mit einer Foramenstenose bei dauerhafter Arbeitsunfähigkeit angegeben.</w:t>
      </w:r>
    </w:p>
    <w:p>
      <w:r>
        <w:rPr>
          <w:b/>
        </w:rPr>
        <w:t>E. 7.4.2</w:t>
      </w:r>
    </w:p>
    <w:p>
      <w:r>
        <w:t>Im anderen Bericht vom 1. März 2010 (act. 165, mit Übersetzung) der J._______ diagnostizierte Dr. M._______ eine umfassende und fortgeschrittene degenerative Veränderung an der Wirbelsäule, u.a. eine Spondylose (M47), zervikale Bandscheibenschäden (M50), sonstige Bandscheibenschäden (M51), ein zervikales Syndrom (M53), Schwindel (R42), ein Cervicobrachialsyndrom (Schulter-Arm-Syndrom) sowie eine Lumboischialgie (lumbosakrales Wurzelreizsyndrom, M54) und eine Coxarthrosis (Hüftgelenksarthrose, M16). Weiter wurde festgehalten, dass sich der Status verschlechtere und der Zustand der Wirbelsäule nach stark verminderter Belastung verlange, insbesondere die Radikulopathie (Stehen und Sitzen von nicht länger als 15 Minuten; Heben von Lasten und Tragen bis zu 2 kg). Der Patient sei als dauerhaft arbeitsunfähig einzustufen.</w:t>
      </w:r>
    </w:p>
    <w:p>
      <w:r>
        <w:rPr>
          <w:b/>
        </w:rPr>
        <w:t>E. 7.4.3</w:t>
      </w:r>
    </w:p>
    <w:p>
      <w:r>
        <w:t>Die beiden serbischen Berichte vermögen - wie vom RAD-Arzt in seiner Stellungnahme vom 1. April 2010 (act. 168) festgestellt wurde - jedoch an der von der Vorinstanz bzw. den Gutachtern der C._______ vorgenommenen Einschätzung nichts zu ändern. Es handelt sich bei den beiden Berichten zwar um die zeitlich neuesten Berichte, ihnen kann aber keine entscheidende Beweiskraft zuerkannt werden.</w:t>
      </w:r>
    </w:p>
    <w:p>
      <w:r>
        <w:rPr>
          <w:b/>
        </w:rPr>
        <w:t>E. 7.4.3.1</w:t>
      </w:r>
    </w:p>
    <w:p>
      <w:r>
        <w:t>Der Bericht vom 28. Januar 2010 (act. 163) weist einen Widerspruch auf: Während im ersten Teil des Berichts noch nicht von einer Diskushernie, sondern "nur" von multisegmentalen Discarthrosen gesprochen wird, wird im zweiten Teil - vom 4. Februar 2010 - nun plötzlich von einer Diskushernie sowie von einer Foramenstenose ausgegangen. Indessen wird auf diese Unterschiede weder hingewiesen, noch werden sie begründet. Ebenso ist die Unterschrift des Arztes unleserlich, weswegen auch nicht ersichtlich wird, ob ein Spezialarzt oder allenfalls ein Allgemeinmediziner den Bericht verfasst hat. Insgesamt erscheint der Bericht widersprüchlich und nicht konsistent.</w:t>
      </w:r>
    </w:p>
    <w:p>
      <w:r>
        <w:rPr>
          <w:b/>
        </w:rPr>
        <w:t>E. 7.4.3.2</w:t>
      </w:r>
    </w:p>
    <w:p>
      <w:r>
        <w:t>Auch der Bericht vom 1. März 2010 (act. 165) vermag nicht zu überzeugen. Insbesondere ist aus dem Bericht nicht ersichtlich, aufgrund welcher Unterlagen/Dokumente bzw. Untersuchungen die Ärztin ihre Diagnosen stellte (bspw. Lumboischialgie mit Wurzelreizsyndrom bzw. Radikulopathie). Es sind sodann auch keine neuen Ereignisse oder Anhaltspunkte dokumentiert, welche die neuen Diagnosen objektiv zu erklären vermöchten. Weiter wurde der Bericht von Dr. M._______, der Hausärztin des Beschwerdeführers (vgl. act. 154, S. 13), verfasst, womit ihren Berichten von vornherein nicht die gleiche Beweiskraft zugestanden werden kann wie dem unabhängigen C._______-Gutachten. Da auch die Diagnosen nicht begründet wurden, kann auf diesen Bericht nicht abgestellt werden.</w:t>
      </w:r>
    </w:p>
    <w:p>
      <w:r>
        <w:rPr>
          <w:b/>
        </w:rPr>
        <w:t>E. 7.4.3.3</w:t>
      </w:r>
    </w:p>
    <w:p>
      <w:r>
        <w:t>Die Einschätzung der vollständigen Arbeitsunfähigkeit durch die beiden serbischen Berichte wurde ebenfalls nicht begründet und ist deshalb nicht nachvollziehbar. Auch wurde sie - soweit ersichtlich - nicht aufgrund einer arbeitsplatzbezogenen Abklärung erhoben.</w:t>
      </w:r>
    </w:p>
    <w:p>
      <w:r>
        <w:rPr>
          <w:b/>
        </w:rPr>
        <w:t>E. 7.4.4</w:t>
      </w:r>
    </w:p>
    <w:p>
      <w:r>
        <w:t>Die serbischen Berichte überzeugen aus diesen Gründen insgesamt nicht und vermögen auch keinen begründeten Zweifel an den Diagnosen und Einschätzungen des C._______-Gutachtens hervorzurufen. Es kann nicht auf sie abgestellt werden.</w:t>
      </w:r>
    </w:p>
    <w:p>
      <w:r>
        <w:rPr>
          <w:b/>
        </w:rPr>
        <w:t>E. 8</w:t>
      </w:r>
    </w:p>
    <w:p>
      <w:r>
        <w:t>Bei den Akten liegen zwei weitere ärztliche Berichte (Bericht der N._______ vom 14. Januar 2003, act. 12; ärztlicher Bericht der H._______, act. 44), welche an der korrekten Einschätzung des Gesundheitszustandes durch die Vorinstanz indessen nichts zu ändern vermögen. Insoweit das Gutachten der C._______ von den dort genannten Diagnosen abweicht, wurde bereits unter Erwägung 7.1 ausführlich darauf eingegangen, weshalb sich weitere Ausführungen erübrigen.</w:t>
      </w:r>
    </w:p>
    <w:p>
      <w:r>
        <w:rPr>
          <w:b/>
        </w:rPr>
        <w:t>E. 9.1</w:t>
      </w:r>
    </w:p>
    <w:p>
      <w:r>
        <w:t>Der Rechtsvertreter macht schliesslich geltend, dass dem Beschwerdeführer eine 3/4-Rente zuzugestehen sei (vgl. Erwägung G., vorne). Dieser Antrag des Rechtsvertreters ist nicht rechtsgenüglich substantiiert: Weder führt er aus, worauf er sich bei der Berechnung stützt, noch lässt sich eine solche Argumentation aus den Akten entnehmen. Dennoch ist im Folgenden aufgrund des im Sozialversicherungsrechts geltenden Untersuchungsgrundsatzes auf die Berechnung des IV-Grades durch die Vorinstanz einzugehen und es ist zu prüfen, ob beim Beschwerdeführer tatsächlich ein IV-Grad von 10% vorlag, wie von der Vorinstanz berechnet wurde (vgl. act. 161).</w:t>
      </w:r>
    </w:p>
    <w:p>
      <w:r>
        <w:rPr>
          <w:b/>
        </w:rPr>
        <w:t>E. 9.2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S. 30; 104 V 135 E. 2b S. 136).</w:t>
      </w:r>
    </w:p>
    <w:p>
      <w:r>
        <w:rPr>
          <w:b/>
        </w:rPr>
        <w:t>E. 9.3</w:t>
      </w:r>
    </w:p>
    <w:p>
      <w:r>
        <w:t>Zunächst ist das Valideneinkommen zu ermitteln.</w:t>
      </w:r>
    </w:p>
    <w:p>
      <w:r>
        <w:rPr>
          <w:b/>
        </w:rPr>
        <w:t>E. 9.3.1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S. 325; 129 V 222 E. 4.3.1 S. 224).</w:t>
      </w:r>
    </w:p>
    <w:p>
      <w:r>
        <w:rPr>
          <w:b/>
        </w:rPr>
        <w:t>E. 9.3.2</w:t>
      </w:r>
    </w:p>
    <w:p>
      <w:r>
        <w:t>Die Vorinstanz hat in ihrer Berechnung ein Valideneinkommen von Fr. 49'400.- im Jahr 2005 (vgl. act. 64) zugrundegelegt und dieses für das Jahr 2008 aufkalkuliert, was ein Jahreseinkommen von gerundet Fr. 51'879.- bzw. Fr. 4'323.- pro Monat ergibt. Dieses Vorgehen erscheint korrekt und gibt zu keinen Beschwerden Anlass.</w:t>
      </w:r>
    </w:p>
    <w:p>
      <w:r>
        <w:rPr>
          <w:b/>
        </w:rPr>
        <w:t>E. 9.4</w:t>
      </w:r>
    </w:p>
    <w:p>
      <w:r>
        <w:t>Für die Festsetzung des Invalideneinkommens ist primär von der beruflich-erwerblichen Situation auszugehen, in welcher die versicherte Person konkret steht (BGE 135 V 297 E. 5.2 S. 301; SVR 2011 IV Nr. 37 S. 110 E. 4.1).</w:t>
      </w:r>
    </w:p>
    <w:p>
      <w:r>
        <w:rPr>
          <w:b/>
        </w:rPr>
        <w:t>E. 9.4.1</w:t>
      </w:r>
    </w:p>
    <w:p>
      <w:r>
        <w:t>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135 V 297 E. 5.2 S. 301; SVR 2010 IV Nr. 52 S. 162 E. 4.3.1).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 Da den Tabellenlöhnen generell eine Arbeitszeit von 40 Wochenstunden zu Grunde liegt, ist eine Umrechnung auf eine betriebsübliche durchschnittliche Wochenarbeitszeit erforderlich (BGE 126 V 75 E. 3b bb S. 76).</w:t>
      </w:r>
    </w:p>
    <w:p>
      <w:r>
        <w:rPr>
          <w:b/>
        </w:rPr>
        <w:t>E. 9.4.2</w:t>
      </w:r>
    </w:p>
    <w:p>
      <w:r>
        <w:t>Die Berechnung des Invalideneinkommens der Vorinstanz beruhte zunächst ebenfalls auf einer Berechnung des durchschnittlichen monatlichen Bruttolohnes im Jahr 2008 aufgrund der LSE, was ein Invalideneinkommen von Fr. 4'998.24 ergab. Da dieses Invalideneinkommen indessen über dem Valideneinkommen (Fr. 4'323.33/Monat) des Beschwerdeführers lag, ging die Vorinstanz vom Valideneinkommen als Invalideneinkommen aus. Davon berücksichtigte sie schliesslich einen leidensbedingten Abzug von 10% und berechnete unter Berücksichtigung der vollen Arbeitsfähigkeit in einer Verweistätigkeit einen IV-Grad von 10%.</w:t>
      </w:r>
    </w:p>
    <w:p>
      <w:r>
        <w:rPr>
          <w:b/>
        </w:rPr>
        <w:t>E. 9.5</w:t>
      </w:r>
    </w:p>
    <w:p>
      <w:r>
        <w:t>Dieses Vorgehen ist an sich unrichtig. Insbesondere kann die Vorinstanz nicht an Stelle des errechneten Invalideneinkommens (auch wenn dieses höher ist), das reale Valideneinkommen des Beschwerdeführers einsetzen: Richtigerweise hätte sie stattdessen eine Parallelisierung der Einkommen durchführen müssen.</w:t>
      </w:r>
    </w:p>
    <w:p>
      <w:r>
        <w:rPr>
          <w:b/>
        </w:rPr>
        <w:t>E. 9.5.1</w:t>
      </w:r>
    </w:p>
    <w:p>
      <w:r>
        <w:t>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Hinweisen). Weicht der tatsächlich erzielte Verdienst mindestens 5% vom branchenüblichen Tabellenlohn der Lohnstrukturerhebungen (LSE) ab, ist er im Sinne der Rechtsprechung deutlich unterdurchschnittlich und kann - bei Erfüllung der übrigen Voraussetzungen - eine Parallelisierung der Vergleichseinkommen rechtfertigen. Es ist allerdings nur in dem Umfang zu parallelisieren, in welchem die prozentuale Abweichung den Erheblichkeitsgrenzwert von 5% übersteigt (BGE 135 V 297 E. 6.1.2 und 6.1.3).</w:t>
      </w:r>
    </w:p>
    <w:p>
      <w:r>
        <w:rPr>
          <w:b/>
        </w:rPr>
        <w:t>E. 9.5.2</w:t>
      </w:r>
    </w:p>
    <w:p>
      <w:r>
        <w:t>Daneben bleibt zusätzlich die Vornahme eines Abzugs vom anhand statistischer Durchschnittswerte ermittelten Invalideneinkommen möglich, wobei zu beachten ist, dass allfällige bereits bei der Parallelisierung der Vergleichseinkommen mitverantwortliche invaliditätsfremde Faktoren im Rahmen des sogenannten Leidensabzuges nicht nochmals berücksichtigt werden dürfen, weshalb sich der Abzug daher in der Regel auf leidensbedingte Faktoren beschränken und nicht mehr die maximal zulässigen 25% ausschöpfen wird (BGE 134 V 322 E. 5.2 und 6.2, 135 V 297 E. 5.3 und 6.2).</w:t>
      </w:r>
    </w:p>
    <w:p>
      <w:r>
        <w:rPr>
          <w:b/>
        </w:rPr>
        <w:t>E. 9.5.3</w:t>
      </w:r>
    </w:p>
    <w:p>
      <w:r>
        <w:t>Im vorliegenden Fall ist und war das hypothetische Invalideneinkommen unter Beizug der Tabellenlöhne gemäss den LSE zu bestimmen. Gemäss LSE 2008, Tabelle TA1, belief sich der Mittelwert 2008 für die mit einfachen und repetitiven Arbeiten beschäftigen Männer im privaten Sektor (Anforderungsniveau 4) auf monatlich brutto Fr. 4'806.- bei einer wöchentlichen Arbeitszeit von 40 Stunden und inklusiv 13. Monatslohn (abrufbar unter www.bfs.admin.ch &gt; Themen &gt; Arbeit, Erwerb &gt; Publikationen S. 2 &gt; die schweizerische Lohnstrukturerhebung 2008 &gt; Tabelle TA1, S. 26; zuletzt besucht am 14. Dezember 2012). Da vorliegend keine Gründe ersichtlich sind, weshalb beim Beschwerdeführer nicht auf den Mittelwert im Anforderungsniveau 4 abzustellen wäre, ist vorliegend von diesem Wert auszugehen. Unter Umrechnung dieses Einkommens auf die betriebsübliche wöchentliche Arbeitszeit von 41,6 Stunden im Jahr 2008 (abrufbar unter www.bfs. admin.ch &gt; Themen &gt; Arbeit, Erwerb &gt; Erwerbstätigkeit und Arbeitszeit &gt; detaillierte Daten &gt; Statistik der betriebsüblichen Arbeitszeit &gt; betriebsübliche Arbeitszeit nach Wirtschaftsabteilungen, in Stunden pro Woche 1990-2011; zuletzt besucht am 14. Dezember 2012) resultiert demnach als Zwischenergebnis ein hypothetisches Invalideneinkommen von Fr. 4'998.- oder jährlich Fr. 59'976.-.</w:t>
      </w:r>
    </w:p>
    <w:p>
      <w:r>
        <w:rPr>
          <w:b/>
        </w:rPr>
        <w:t>E. 9.5.4</w:t>
      </w:r>
    </w:p>
    <w:p>
      <w:r>
        <w:t>Die Gegenüberstellung des hypothetischen Validen- und Invalideneinkommens zeigt, dass das hypothetische Valideneinkommen des Beschwerdeführers in Höhe von Fr. 51'879.- jährlich 13,5% unter dem Durchschnittslohn der LSE, Mittelwert 2008 für die mit einfachen und repetitiven Arbeiten beschäftigen Männer im privaten Sektor (Anforderungsniveau 4) von Fr. 59'976.- lag. Unter Berücksichtigung der Parallelisierung in dem Umfang, in welchem die prozentuale Abweichung den 5%igen Erheblichkeitsgrenzwert überschreitet - vorliegend somit im Ausmass von 8.5% (13.5% - 5 %) - ergibt sich unter Anpassung des hypothetischen Invalideneinkommen ein solches von Fr. 54'878.- (Fr. 59'976.- x 8.5%) bzw. Fr. 4'573.- pro Monat.</w:t>
      </w:r>
    </w:p>
    <w:p>
      <w:r>
        <w:rPr>
          <w:b/>
        </w:rPr>
        <w:t>E. 9.5.5</w:t>
      </w:r>
    </w:p>
    <w:p>
      <w:r>
        <w:t>Unter weiterer Berücksichtigung eines angemessenen leidensbedingten Abzuges von 10% des Invalideneinkommens (Fr. 54'878.- minus 10%, somit Fr. 49'390.- bzw. Fr. 4'116.- pro Monat) resultiert ein IV-Grad von knapp 5% ([Fr. 51'879.- minus Fr. 49'390.-] x 100 : Fr. 51'879.-).</w:t>
      </w:r>
    </w:p>
    <w:p>
      <w:r>
        <w:rPr>
          <w:b/>
        </w:rPr>
        <w:t>E. 9.5.6</w:t>
      </w:r>
    </w:p>
    <w:p>
      <w:r>
        <w:t>Insoweit war die Berechnung der Vorinstanz - obwohl grundsätzlich falsch - im Ergebnis dennoch zutreffend, weil der Beschwerdeführer auch bei einem richtigerweise errechneten IV-Grad von 5% keinen Anspruch auf eine Rente der IV hat.</w:t>
      </w:r>
    </w:p>
    <w:p>
      <w:r>
        <w:rPr>
          <w:b/>
        </w:rPr>
        <w:t>E. 9.6</w:t>
      </w:r>
    </w:p>
    <w:p>
      <w:r>
        <w:t>Somit ist festzustellen, dass die Vorinstanz dem Beschwerdeführer zu Recht eine IV-Rente verweigert hat. Die Beschwerde ist aus diesem Grund abzuweisen und die angefochtene Verfügung vom 9. April 2010 (act. 169) zu bestätigen.</w:t>
      </w:r>
    </w:p>
    <w:p>
      <w:r>
        <w:rPr>
          <w:b/>
        </w:rPr>
        <w:t>E. 10</w:t>
      </w:r>
    </w:p>
    <w:p>
      <w:r>
        <w:t>Zu befinden bleibt noch über die Verfahrenskosten und eine allfällige Parteientschädigung.</w:t>
      </w:r>
    </w:p>
    <w:p>
      <w:r>
        <w:rPr>
          <w:b/>
        </w:rPr>
        <w:t>E. 10.1</w:t>
      </w:r>
    </w:p>
    <w:p>
      <w:r>
        <w:t>Mit Zwischenverfügung vom 6. Oktober 2010 (B-act. 10) wurde das Gesuch des Beschwerdeführers vom 20. Juli 2010 (B-act. 7) um unentgeltliche Prozessführung - im Sinne der Befreiung von den Gerichtskosten - gutgeheissen; jener hat somit keine Verfahrenskosten zu tragen.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des Reglements vom 21. Februar 2008 über die Kosten und Entschädigungen vor dem Bundesverwaltungsgericht [VGKE, SR 173.320.2]), wobei die Voraussetzungen einer Ausnahme im konkreten Fall nicht erfüllt sind (BGE 127 V 205).</w:t>
      </w:r>
    </w:p>
    <w:p>
      <w:r>
        <w:rPr>
          <w:b/>
        </w:rPr>
        <w:t>E. 10.3</w:t>
      </w:r>
    </w:p>
    <w:p>
      <w:r>
        <w:t>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