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C-3494/2013 vom 8. April 2015</w:t>
      </w:r>
    </w:p>
    <w:p>
      <w:r>
        <w:t>Bundesverwaltungsgericht, 2015-04-08, FR</w:t>
      </w:r>
    </w:p>
    <w:p>
      <w:r>
        <w:rPr>
          <w:b/>
        </w:rPr>
        <w:t xml:space="preserve">Quelle: </w:t>
      </w:r>
      <w:r>
        <w:t>https://mcp.opencaselaw.ch/entscheid/bvger_C-3494_2013</w:t>
      </w:r>
    </w:p>
    <w:p>
      <w:r>
        <w:t>FR: TAF C-3494/2013 du 8 avril 2015</w:t>
      </w:r>
    </w:p>
    <w:p>
      <w:r>
        <w:t>IT: TAF C-3494/2013 del 8 aprile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fedpol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w:t>
      </w:r>
    </w:p>
    <w:p>
      <w:r>
        <w:rPr>
          <w:b/>
        </w:rPr>
        <w:t>E. 3</w:t>
      </w:r>
    </w:p>
    <w:p>
      <w:r>
        <w:t>Dans l'argumentaire de son recours, A._______ s'est d'abord plaint d'une violation du droit d'être entendu, au motif que fedpol ne lui avait pas donné l'occasion de se déterminer avant le prononcé de sa décision, que sa décision était insuffisamment motivée et que fedpol avait en outre refusé de lui soumettre son dossier à consultation.</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Müller/Schindler [éd.], Kommentar zum Bundesgesetz über das Verwaltungsverfahren [VwVG], 2008, n° 16 ad art. 29 PA, et André Moser et al., Prozessieren vor dem Bundesverwaltungsgericht, Handbücher für die Anwaltspraxis, Tome X, 2ème éd., Bâle 2013, n°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cf. également Moser et al. op.cit., n° 3.112, et les références citées).</w:t>
      </w:r>
    </w:p>
    <w:p>
      <w:r>
        <w:rPr>
          <w:b/>
        </w:rPr>
        <w:t>E. 4.1</w:t>
      </w:r>
    </w:p>
    <w:p>
      <w:r>
        <w:t>S'agissant du grief soulevé par le recourant, selon lequel fedpol ne lui avait pas donné l'occasion de présenter ses déterminations avant le prononcé de la décision du 10 avril 2013, le Tribunal constate que l'adresse de A._______ n'apparaît sur aucune des pièces du dossier de fedpol à la date du prononcé de l'interdiction d'entrée du 10 avril 2013. L'examen du dossier de fedpol révèle en effet que l'adresse de A._______ n'a été portée à la connaissance de fedpol que le 8 mai 2013 par .... Dans ces circonstances, faute de pouvoir atteindre l'intéressé, l'autorité intimée était fondée à renoncer à lui donner l'occasion de se déterminer, compte tenu de l'urgence qu'il y avait, dans le cas d'espèce, à prononcer la mesure d'interdiction d'entrée objet du présent recours. La nécessité de prononcer rapidement la mesure d'éloignement objet du présent recours se trouve d'ailleurs confirmée par le fait que A._______ a été contrôlé à son entrée en Suisse le 21 mai 2013 déjà, date à laquelle la décision attaquée lui a été notifiée. Le Tribunal relève au surplus que, même dans l'hypothèse où il y aurait lieu de considérer que fedpol avait violé le droit d'être entendu du recourant en renonçant à lui donner l'occasion de se déterminer avant le prononcé de sa décision, ce vice devrait être considéré comme guéri. En effet, conformément à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(cf. ATF 137 I 195 E. 2.3.2 et jurisprudence citée). En l'espèce, les possibilités qui ont été offertes au recourant dans le cadre de son recours remplissent entièrement ces conditions. Le Tribunal dispose en effet d'une pleine cognition et peut revoir aussi bien les questions de droit que les constatations de fait établies par l'autorité inférieure ou encore l'opportunité de sa décision (cf. consid. 2 supra). Or, en l'espèce, il apparaît que A._______ a eu la faculté de faire valoir tous ses moyens au cours de la présente procédure, preuve en est le mémoire circonstancié qu'il a déposé auprès du Tribunal. Il a en outre pu se déterminer sur la prise de position de fedpol du 13 décembre 2013 et a ainsi largement eu la possibilité de déposer ses moyens de preuve et de faire ainsi entendre son point de vue à satisfaction de droit (cf. notamment ATF ATF 137 I 195 consid. 2.3.2, ATF 133 I 201 consid. 2.2, ATF 130 II 530 consid. 7.3).</w:t>
      </w:r>
    </w:p>
    <w:p>
      <w:r>
        <w:rPr>
          <w:b/>
        </w:rPr>
        <w:t>E. 4.2</w:t>
      </w:r>
    </w:p>
    <w:p>
      <w:r>
        <w:t>Concernant le grief tiré d'une motivation insuffisante de la décision attaquée, le Tribunal constate que, dans son prononcé du 10 avril 2013, fedpol a exposé les faits sur lesquels il fondait les motifs de sauvegarde de la sécurité intérieure et extérieure de la Suisse au sens de l'art. 67 al. 4 LEtr. Il apparaît ainsi que le recourant était en mesure de saisir le fondement essentiel des motifs que fedpol avait retenu à l'appui de sa décision.... A._______ a d'ailleurs été en mesure de déposer un mémoire de recours circonstancié contre cette décision, contestant les motifs sur la base desquels celle-ci a été prononcée, ce qui démontre qu'il a été parfaitement apte à discerner les raisons ayant amené l'autorité inférieure à prendre la décision attaquée. En outre, même si l'autorité inférieure avait insuffisamment motivé sa décision, violant ainsi le droit d'être entendu de l'intéressé, ce qui n'est pas le cas en l'espèce, le Tribunal dispose, comme déjà souligné ci-dessus, d'une pleine cognition et peut revoir aussi bien les questions de droit que les constations de faits établies par l'autorité inférieure ou encore l'opportunité de sa décision (art. 49 PA). Or, le recourant a eu la faculté de présenter tous ses moyens au cours de la présente procédure, tant par rapport à la décision querellée de fedpol du 10 avril 2013, que par rapport au préavis de cette autorité du 13 décembre 2013. Il a donc eu la possibilité de prendre position de façon adéquate au sujet des éléments qui ont motivé la décision querellée (cf. notamment ATF 127 V 431 consid. 3d/aa, 126 V 130 consid. 2b, 125 I 209 consid. 9a et 116 V 28 consid. 4b; ATAF 2009/53 consid. 7.3 p. 773), si bien que le Tribunal devrait ainsi de toute manière considérer qu'une éventuelle violation du droit d'être entendu par l'autorité inférieure, inexistante en l'espèce, a été guérie devant lui. Le moyen tiré d'une motivation insuffisante de la décision entreprise doit ainsi être écarté.</w:t>
      </w:r>
    </w:p>
    <w:p>
      <w:r>
        <w:rPr>
          <w:b/>
        </w:rPr>
        <w:t>E. 4.3</w:t>
      </w:r>
    </w:p>
    <w:p>
      <w:r>
        <w:t>Le recourant a enfin prétendu que fedpol avait violé son droit d'être entendu en lui refusant la consultation du dossier de la cause. Le droit de consulter le dossier est un aspect du droit d'être entendu (ATF 127 V 431 consid. 3a p. 436; 126 I 7 consid. 2b p. 10) qui s'étend à toutes les pièces décisives (ATF 121 I 225 consid. 2a p. 227). Le droit à la consultation des pièces peut cependant être limité lorsque des intérêts publics ou privés importants exigent que le secret soit gardé (cf. art. 26 et 27 PA; ATF 122 I 153 consid. 6a p. 161; 121 I 225 consid. 2 p. 227 ss). La jurisprudence a toujours accordé un poids important à la protection des informateurs et des tiers (ATF 122 I 153 consid. 6c/aa p. 165 et les références). Les intérêts opposés à la consultation du dossier d'une part et au maintien du secret d'autre part doivent être pondérés (ATF 122 I 153 consid. 6a p. 161 et les références) et le principe de la proportionnalité doit évidemment être respecté (ATF 115 Ia 296 consid. 5c p. 304).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 En l'espèce, fedpol a certes refusé de soumettre à la consultation du recourant les pièces de son dossier, mais il lui a toutefois donné les informations essentielles sur lesquelles il s'était fondé pour prononcer la mesure attaquée. Il apparaît d'ailleurs que le recourant a été en mesure de déposer un mémoire de recours circonstancié contre cette décision, contestant les motifs sur la base desquels celle-ci a été prononcée, ce qui démontre qu'il a été parfaitement apte à discerner les faits sur la base desquels fedpol avait considéré qu'il représentait une menace pour la sécurité et l'ordre publics. En conséquence, l'argumentation du recourant, selon laquelle fedpol avait violé son droit d'être entendu en refusant de lui soumettre son dossier en consultation n'est pas pertinente. 5.Il convient dès lors d'examiner si c'est à bon droit que fedpol, se fondant sur l'art. 67 al. 4 LEtr, a prononcé une interdiction d'entrée d'une durée de cinq ans à l'endroit de A._______. 5.1 Fedpol a motivé son prononcé par la sauvegarde de la sécurité intérieure et extérieure de la Suisse au sens de l'art. 67 al. 4 LEtr, en considération de la condamnation prononcée à l'endroit du recourant ... et des informations dont il disposait par ailleurs au sujet de son engagement politique. 5.2 Selon l'art. 67 al. 4 LEtr, entré en vigueur le 1er janvier 2011, fedpol peut interdire l'entrée en Suisse à un étranger pour sauvegarder la sécurité intérieure ou extérieure de la Suisse. Il ressort du Message du Conseil fédéral du 8 mars 2002 concer­nant la loi sur les étrangers que sous la notion de mise en danger de la sécurité intérieure et extérieure de la Suisse, on entend en particulier la mise en danger de la primauté du pouvoir étatique dans les domaines mi­litaire et politique. Selon les précisions données par le Conseil fédéral, qui se réfère, à propos de la même notion figurant dans la disposition du pro­jet de loi portant sur l'expulsion, à la jurisprudence qu'il a développée à propos de l'art. 70 aCst., il s'agit par exemple de la mise en danger par des actes de terrorisme ou d'extrémisme violent, par une activité deren­seignements interdits, par la criminalité organisée ou par des actes et projets mettant sérieusement en danger les relations actuelles de la Suisse avec d'autres États ou cherchant à modifier par la violence l'ordre étatique établi (cf. FF 2002 3569, ad art. 67 du projet de loi; voir, dans le même sens, ch. 8.9.2 des Directives et commentaires du SEM [version remaniée et unifiée du 13 février 2015] &lt; https://www.bfm.admin.ch/Publications &amp; service/Directives et circulaires I. Domaines des étrangers/Mesures d'éloignement &gt; consulté en avril 2015). 5.3 Eu regard de la nationalité ... de A._______, son recours doit également être examiné en considération de l'ALCP. Il convient de rappeler ici qu'aux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6.1</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6.2</w:t>
      </w:r>
    </w:p>
    <w:p>
      <w:r>
        <w:t>Comme précisé dans l'ATF 139 II 121 au considérant 5.3, dès lors qu'une mesure d'interdiction d'entrée en Suisse restreint la libre circulation des personnes, l'interdiction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ATF 136 II 5 consid. 4.2).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ibid. et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136 II 5 consid. 4.2, 134 II 25 consid. 4.3.2 et 130 Il 493 consid. 3.3; voir aussi les arrêts du Tribunal fédéral 2C_506/2011 du 13 décembre 2011 consid. 4.2.2 et 2C_636/2010 du 3 août 2011 consid. 3.2).</w:t>
      </w:r>
    </w:p>
    <w:p>
      <w:r>
        <w:rPr>
          <w:b/>
        </w:rPr>
        <w:t>E. 6.3</w:t>
      </w:r>
    </w:p>
    <w:p>
      <w:r>
        <w:t>Par conséquent, il faut, pour faire l'objet d'une interdiction d'entrée en application de l'art. 67 LEtr, que le ressortissant d'un Etat partie à l'ALCP, représente une menace d'une certaine gravité pour l'ordre et la sécurité publics de nature à le priver de son droit d'entrer en Suisse au sens de l'art. 5 annexe I ALCP.</w:t>
      </w:r>
    </w:p>
    <w:p>
      <w:r>
        <w:rPr>
          <w:b/>
        </w:rPr>
        <w:t>E. 7.1</w:t>
      </w:r>
    </w:p>
    <w:p>
      <w:r>
        <w:t>En l'espèce, le Tribunal est amené à constater que A._______ a été condamné par le Tribunal de C.______ ... pour participation à une association de malfaiteurs en vue de la préparation d'un acte de terrorisme. ...Il convient de relever ici que le Tribunal n'a pas de raison de mettre en doute l'impartialité de l'instruction de la cause et du jugement prononcé à l'endroit de A._______. Il n'est au demeurant pas de la compétence de la Suisse et de ses autorités judiciaires de se prononcer sur le jugement rendu par le Tribunal de C._____,..., ni d'en évaluer la conformité avec la CEDH et avec l'ordre juridique suisse. Cela étant, il appartenait au recourant d'utiliser les voies de droit dont il disposait pour contester ce jugement et, dans ce contexte, l'allégation selon laquelle son procès ne s'était pas déroulé de façon équitable est sans pertinence pour la présente procédure. Aussi, en considération de la nature et de la gravité des menaces que son comportement fait planer sur la société civile, il n'est pas contestable que les agissements de A._______ constituent non seulement un trouble à l'ordre social, mais présentent objectivement une menace réelle qui affecte un intérêt fondamental de la société au sens de la jurisprudence de la Cour de Justice de l'Union européenne (CJCE).</w:t>
      </w:r>
    </w:p>
    <w:p>
      <w:r>
        <w:rPr>
          <w:b/>
        </w:rPr>
        <w:t>E. 7.2</w:t>
      </w:r>
    </w:p>
    <w:p>
      <w:r>
        <w:t>Il convient encore d'examiner si cette menace est toujours d'actualité. La gravité des faits reprochés au recourant ...amène le Tribunal à considérer que le maintien de l'interdiction d'entrée se justifie pour des motifs liés à la sécurité intérieure et extérieure de la Suisse. Les activités déployées par le recourant sont en effet objectivement d'une gravité suffisante pour justifier le prononcé d'une mesure d'éloignement. ... En considération de ce qui précède, le Tribunal est amené à conclure que fedpol a tenu compte de manière appropriée des principes de la réglementation communautaire et de la jurisprudence de la CJCE concernant la gravité, la réalité et l'actualité de la menace que l'intéressé représente pour l'ordre et la sécurité publics. Partant, la décision attaquée satisfait aux conditions habilitant l'autorité à déroger au principe de libre circulation des personnes consacré par l'ALCP. Aussi, sur le principe, le prononcé d'une interdiction d'entrée en Suisse à l'encontre du recourant au sens de l'art. 67 al. 4 LEtr, en relation avec l'art. 5 annexe I ALCP est justifié. 8.Il sied d'examiner encore si la décision de fedpol satisfait au principe de la proportionnalité. 8.1 Lorsque l'autorité administrative prononce une interdiction d'entrée, elle doit en effet respecter le principe susmentionné et s'interdire tout arbitraire (cf. à ce sujet, à titre d'exemples, Thierry Tanquerel, Manuel de droit administratif, Genève/Zurich/Bâle 2011, p. 187ss, p. 199ss et p. 204ss et Pierre Moor et al.,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Concernant les deux premières règles susmentionnées, il est indéniable que l'éloignement de l'intéressé du territoire suisse est apte et nécessaire pour atteindre les buts visés, à savoir protéger l'ordre et la sécurité publics. 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8.2 Il convient de rappeler ici que contrairement à ce qu'il en est des interdictions d'entrée prononcées par le SEM, dont la durée maximale est en principe de cinq ans (cf. art. 67 al. 3 LEtr), fedpol peut prononcer des interdictions d'entrée pour une durée supérieure à cinq ans et même, dans des cas graves, pour une durée illimitée. Dans le cas d'espèce, après une pondération des intérêts publics et pri­vés en présence et au regard de l'ensemble des circonstances, en par­ti­­culier de la gravité de la menace que le recourant représente pour la sécurité intérieure et extérieure de la Suisse ..., le Tri­bunal estime que la durée de l'in­­terdiction d'entrée prononcée le 10 avril 2013 est conforme au principe de la proportionnalité. 9.Il ressort de ce qui précède que la décision querellée est conforme au droit.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