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C-3491/2008 vom 8. März 2010</w:t>
      </w:r>
    </w:p>
    <w:p>
      <w:r>
        <w:t>Bundesverwaltungsgericht, 2010-03-08, DE</w:t>
      </w:r>
    </w:p>
    <w:p>
      <w:r>
        <w:rPr>
          <w:b/>
        </w:rPr>
        <w:t xml:space="preserve">Quelle: </w:t>
      </w:r>
      <w:r>
        <w:t>https://mcp.opencaselaw.ch/entscheid/bvger_C-3491_2008</w:t>
      </w:r>
    </w:p>
    <w:p>
      <w:r>
        <w:t>FR: TAF C-3491/2008 du 8 mars 2010</w:t>
      </w:r>
    </w:p>
    <w:p>
      <w:r>
        <w:t>IT: TAF C-3491/2008 del 8 marzo 2010</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Aufgrund von Art. 3 Bst. dbis des Bundesgesetzes über das Verwaltungsverfahren vom 20. Dezember 1968 (VwVG, SR 172.021) findet das VwVG keine Anwendung in Sozialversicherungssachen, soweit das Bundesgesetz über den Allgemeinen Teil des Sozialversicherungsrechts vom 6. Oktober 2000 (ATSG, SR 830.1) anwendbar ist. Gemäss Art. 1 Abs. 1 IVG sind die Bestimmungen des ATSG auf die Invalidenversicherung (Art. 1a-26bis und 28-70 IVG) anwendbar, soweit das IVG nicht ausdrücklich eine Abweichung vom ATSG vorsieht.</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Da die Beschwerde im Übrigen frist- und formgerecht (Art. 60 ATSG und Art. 52 VwVG) eingereicht und der Kostenvorschuss fristgerecht geleistet wurde, ist darauf einzutreten.</w:t>
      </w:r>
    </w:p>
    <w:p>
      <w:r>
        <w:rPr>
          <w:b/>
        </w:rPr>
        <w:t>E. 2</w:t>
      </w:r>
    </w:p>
    <w:p>
      <w:r>
        <w:t>Vorab ist zu prüfen, welche Rechtsnormen im vorliegenden Verfahren zur Anwendung gelangen.</w:t>
      </w:r>
    </w:p>
    <w:p>
      <w:r>
        <w:rPr>
          <w:b/>
        </w:rPr>
        <w:t>E. 2.1</w:t>
      </w:r>
    </w:p>
    <w:p>
      <w:r>
        <w:t>Das Verfahren vor dem Bundesverwaltungsgericht richtet sich im Wesentlichen nach den Vorschriften des VGG, des VwVG (Art. 37 VGG) sowie des ATSG. Dabei finden nach den allgemeinen intertemporalrechtlichen Regeln diejenigen Rechtssätze Anwendung,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Nach der Rechtsprechung stellt das Sozialversicherungsgericht bei der Beurteilung einer Streitsache in der Regel auf den bis zum Zeitpunkt des Erlasses der streitigen Verfügung (hier: 30. April 2008) eingetretenen Sachverhalt ab (BGE 129 V 1 E. 1.2 mit Hinweisen). Tatsachen, die jenen Sachverhalt seither verändert haben, sollen im Normalfall Gegenstand einer neuen Verwaltungsverfügung sein (BGE 121 V 362 E. 1b).</w:t>
      </w:r>
    </w:p>
    <w:p>
      <w:r>
        <w:rPr>
          <w:b/>
        </w:rPr>
        <w:t>E. 2.2</w:t>
      </w:r>
    </w:p>
    <w:p>
      <w:r>
        <w:t>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(BGE 126 V 203 E. 2b, 122 V 382 E. 1, 119 V 101 E. 3). Zwischenzeitlich hat die Schweiz mit Nachfolgestaaten des ehemaligen Jugoslawiens (Kroatien, Slowenien und Mazedonien), nicht aber mit Serbien oder mit dem jüngst von der Schweiz als Staat anerkannten Kosovo, neue Abkommen über Soziale Sicherheit abgeschlossen. Für den Beschwerdeführer als Bürger von Kosovo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Die Frage ob, und gegebenenfalls ab wann Anspruch auf Leistungen der IV besteht, bestimmt sich daher vorliegend alleine aufgrund der schweizerischen Rechtsvorschriften.</w:t>
      </w:r>
    </w:p>
    <w:p>
      <w:r>
        <w:rPr>
          <w:b/>
        </w:rPr>
        <w:t>E. 2.3</w:t>
      </w:r>
    </w:p>
    <w:p>
      <w:r>
        <w:t>Für das vorliegende Verfahren ist deshalb das per 1. Januar 2003 in Kraft getretene ATSG anwendbar. Die darin enthaltenen Formulierungen der Arbeitsunfähigkeit, der Erwerbsunfähigkeit, der Invalidität und der Einkommensvergleichsmethode entsprechen ohnehin den bisherigen, von der Rechtsprechung dazu entwickelten Begriffen in der IV. Demzufolge beanspruchen die diesbezüglich schon herausgebildeten Grundsätze auch unter der Herrschaft des ATSG weiterhin Geltung (BGE 130 V 343). Bei den materiellen Bestimmungen des IVG und der Verordnung über die Invalidenversicherung vom 17. Januar 1961 (IVV, SR 831.201) ist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w:t>
      </w:r>
    </w:p>
    <w:p>
      <w:r>
        <w:rPr>
          <w:b/>
        </w:rPr>
        <w:t>E. 3.1</w:t>
      </w:r>
    </w:p>
    <w:p>
      <w:r>
        <w:t>Gemäss Art. 8 ATSG in Verbindung mit Art. 4 Abs. 1 IVG ist Invalidität die voraussichtlich bleibende oder längere Zeit dauernde ganze oder teilweise Erwerbsunfähigkeit als Folge von Geburtsgebrechen, Krankheit oder Unfall. Art. 7 ATSG definiert die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ordentliche Rente haben gemäss Art. 36 Abs. 1 IVG in der bis 31. Dezember 2007 gültig gewesenen Fassung die rentenberechtigten Versicherten, die bei Eintritt der Invalidität während mindestens eines vollen Jahres Beiträge an die schweizerische Sozialversicherung geleistet haben. Meldet sich ein Versicherter mehr als zwölf Monate nach Entstehen des Anspruchs an, so werden die Leistungen in Abweichung von Art. 24 Abs. 1 ATSG lediglich für die zwölf der Anmeldung vorangehenden Monate ausgerichtet (Art. 48 Abs. 2 IVG in der bis 31. Dezember 2007 gültig gewesenen Fassung).</w:t>
      </w:r>
    </w:p>
    <w:p>
      <w:r>
        <w:rPr>
          <w:b/>
        </w:rPr>
        <w:t>E. 3.3</w:t>
      </w:r>
    </w:p>
    <w:p>
      <w:r>
        <w:t>Anspruch auf eine ganze Invalidenrente besteht bei einem IV-Grad von mindestens 70%, auf eine Dreiviertelsrente bei mindestens 60%, auf eine halbe Rente bei mindestens 50% sowie auf eine Viertelsrente bei mindestens 40% (Art. 28 Abs. 1 IVG [4. IV-Revision] und Art. 28 Abs. 2 IVG [5. IV-Revision]). Gemäss Art. 28 Abs. 1ter IVG (respektive Art. 29 Abs. 4 IVG in der seit 1. Januar 2008 geltenden Fassung) werden Renten, die einem Invaliditätsgrad von weniger als 50% entsprechen, jedoch nur an Versicherte ausgerichtet, die ihren Wohnsitz und gewöhnlichen Aufenthalt (Art. 13 ATSG) in der Schweiz haben, soweit nicht völkerrechtliche Vereinbarungen eine abweichende Regelung vorsehen, was für den Kosovo nicht der Fall ist. Der Rentenanspruch nach Artikel 28 entsteht nach den Vorschriften der 4. IV-Revision frühestens in dem Zeitpunkt, in dem der Versicherte mindestens zu 40% bleibend erwerbsunfähig (Art. 7 ATSG) geworden ist (Art. 29 Abs. 1 lit. a IVG [4. IV-Revision]) oder während eines Jahres ohne wesentlichen Unterbruch durchschnittlich mindestens zu 40% arbeitsunfähig (Art. 6 ATSG) gewesen war (Art. 29 Abs. 1 lit.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 c IVG [5. IV-Revision]).</w:t>
      </w:r>
    </w:p>
    <w:p>
      <w:r>
        <w:rPr>
          <w:b/>
        </w:rPr>
        <w:t>E. 3.4</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 genanntes Invalideneinkommen), in Beziehung gesetzt zum Erwerbseinkommen, das sie erzielen könnte, wenn sie nicht invalid geworden wäre (so genanntes Valideneinkommen; Art. 16 ATSG). Um den Invaliditätsgrad bemessen zu können, ist die Verwaltung (und im Beschwerdeverfahren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konkret noch zugemutet werden können. Es sind demnach nicht nur die Erwerbsmöglichkeiten im angestammten Beruf, sondern auch in zumutbaren Verweisungstätigkeiten zu prüfen (BGE 115 V 134 E. 2, 114 V 314 E. 3c mit Hinweisen; ZAK 1991 S. 319 E. 1c). Nicht als Folgen eines Gesundheitsschadens und damit invalidenversicherungsrechtlich nicht als relevant gelten Einschränkungen der Erwerbsfähigkeit, welche die versicherte Person bei Aufbietung allen guten Willens, die verbleibende Leistungsfähigkeit zu verwerten, abwenden könnte (BGE 131 V 49 E. 1.2 mit Hinweisen). 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 genannte Verweisungstätigkeit hat sich der Versicherte anrechnen zu lassen (leidensangepasste Verweisungstätigkeit; ZAK 1986 S. 204 f.).</w:t>
      </w:r>
    </w:p>
    <w:p>
      <w:r>
        <w:rPr>
          <w:b/>
        </w:rPr>
        <w:t>E. 3.5</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 Berichten und Gutachten versicherungsinterner Ärzte kommt Beweiswert zu, sofern sie als schlüssig erscheinen, nachvollziehbar begründet sowie in sich widerspruchsfrei sind und keine Indizien gegen ihre Zuverlässigkeit besteht.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kann indessen nur abgestellt werden, wenn sie den allgemeinen beweisrechtlichen Anforderungen an einen ärztlichen Bericht genügen (Urteil des Eidg. Versicherungsgerichts I 694/05 vom 15. Dezember 2006 E. 2). Die RAD-Ärzte müssen sodann über die im Einzelfall gefragten persönlichen und fachlichen Qualifikationen verfügen (Urteile I 142/07 vom 20. November 2007 E. 3.2.3 und I 362/06 vom 10. April 2007 E. 3.2.1).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(vgl. Urteile des Bundesgerichts 9C_323/2009 vom 14. Juli 2009 E. 4.3.1 sowie I 1094/06 vom 14. November 2007 E. 3.1.1, beide mit Hinweisen).</w:t>
      </w:r>
    </w:p>
    <w:p>
      <w:r>
        <w:rPr>
          <w:b/>
        </w:rPr>
        <w:t>E. 4</w:t>
      </w:r>
    </w:p>
    <w:p>
      <w:r>
        <w:t>Vorliegend ist zu prüfen, ob und gegebenenfalls seit wann (frühestens ab März 2005 [12 Monate vor Eingang des Leistungsbegehrens; vgl. E. 3.2 hiervor und Art. 29 Abs. 3 ATSG]) und in welchem Umfang der Beschwerdeführer Anspruch auf eine Invalidenrente hat.</w:t>
      </w:r>
    </w:p>
    <w:p>
      <w:r>
        <w:rPr>
          <w:b/>
        </w:rPr>
        <w:t>E. 4.1</w:t>
      </w:r>
    </w:p>
    <w:p>
      <w:r>
        <w:t>Gemäss den vom Beschwerdeführer eingereichten medizinischen Unterlagen leidet dieser an einer posttraumatischen Belastungsstörung, einer Major Depression mit psychotischen Elementen, einer Lumboischialgie, einer "Sacralisation vert. L5" sowie einer "Spondylosis und Discarthrosis vert. L5-S1" (act. 12 bis 17 und 21 bis 29). Dr. med. D._______, Physiater, führte in seinem Bericht vom 18. April 2007 zudem aus, dass der Beschwerdeführer auf entsprechende Empfehlung des Rheumatologen bei ihm in regelmässiger Behandlung stehe (act. 21, 26 und 27). Trotz den aus den medizinischen Berichten ersichtlichen rheumatologischen Leiden des Beschwerdeführers, kam Dr. med. A._______ des regionalärztlichen Dienstes in ihrer Stellungnahme vom 11. Oktober 2007 ohne entsprechende Begründung zum Schluss, dass lediglich ein psychiatrisches Gutachten durchzuführen sei (act. 32).</w:t>
      </w:r>
    </w:p>
    <w:p>
      <w:r>
        <w:rPr>
          <w:b/>
        </w:rPr>
        <w:t>E. 4.2</w:t>
      </w:r>
    </w:p>
    <w:p>
      <w:r>
        <w:t>In seinem von der IVSTA eingeholten Gutachten vom 7. Dezember 2007 diagnostiziert Dr. med. B._______ im Wesentlichen gestützt auf die psychiatrische Expertise von Dr. med. C._______ vom 1. Dezember 2007 (act. 37) eine posttraumatische Belastungsstörung (depressive Form mit verminderter Toleranz; ICD 10 F43.1) und kommt zum Schluss, dass der Beschwerdeführer aus psychiatrischer Sicht zu 40% arbeitsunfähig sei. Hinsichtlich dem neurologischen Status führt er aus, dass keine Lateralisation vorliege (act. 36). Das Gutachten vom 7. Dezember 2007 beruht im Wesentlichen auf der psychiatrischen Untersuchung des Beschwerdeführers durch Dr. med. C._______ vom 1. Dezember 2007. Es sprechen keine konkreten Indizien gegen die Zuverlässigkeit des ausführlichen und nachvollziehbaren Gutachtens von Dr. med. B._______. Es berücksichtigt die geklagten Beschwerden, erfolgte in Kenntnis der Vorakten (insbesondere medizinische Berichte und Anamnese) und leuchtet in der Beurteilung der medizinischen Diagnosen und der Auswirkung auf die Erwerbsfähigkeit ein. Im Hinblick darauf, dass die IVSTA ausdrücklich nur die Durchführung einer psychiatrischen Untersuchung verlangt hat (act. 34) und die physische Untersuchung des Beschwerdeführers durch Dr. med. B._______ daher sehr rudimentär ausfiel, ist das Gutachten vom 7. Dezember 2007 als rein psychiatrisches Gutachten zu qualifizieren, welches keine Rückschlüsse bezüglich der rheumatologischen Leiden des Beschwerdeführers zulässt.</w:t>
      </w:r>
    </w:p>
    <w:p>
      <w:r>
        <w:rPr>
          <w:b/>
        </w:rPr>
        <w:t>E. 4.3</w:t>
      </w:r>
    </w:p>
    <w:p>
      <w:r>
        <w:t>Die angefochtene Verfügung der IVSTA vom 30. April 2008 stützt sich auf die Stellungnahme von Dr. med. A._______ des regionalärztlichen Dienstes vom 12. Februar 2008. Diese kommt gestützt auf das Gutachten von Dr. med. B._______ vom 7. Dezember 2007 und die psychiatrische Expertise von Dr. med. C._______ vom 1. Dezember 2007 zum Schluss, dass aus versicherungsrechtlicher Sicht keine dauerhafte Auswirkung auf die Arbeitsfähigkeit vorliege (act. 39). Wie erwähnt kann auf Stellungnahmen des RAD nur abgestellt werden, wenn sie den allgemeinen beweisrechtlichen Anforderungen an einen ärztlichen Bericht genügen und darüber hinaus die RAD-Ärzte über die im Einzelfall gefragten persönlichen und fachlichen Qualifikationen verfügen (vgl. E. 3.5 hiervor). Dass Dr. med. A._______ den Beschwerdeführer nicht selber untersucht hatte, ist gemäss höchstrichterlicher Rechtsprechung grundsätzlich nicht zu beanstanden. Etwas anderes gilt jedoch hinsichtlich der fachlichen Qualifikation von Dr. med. A._______. Diese Ärztin verfügt über den Facharzttitel Psychiatrie und Psychotherapie FMH. Mit Blick auf die beim Beschwerdeführer vorliegenden rheumatologischen Leiden wäre das Einholen eines rheumatologischen Gutachtens und/oder der Stellungnahmen bei entsprechend ausgebildeten Fachärzten notwendig gewesen, um den allgemeinen beweisrechtlichen Anforderungen an einen ärztlichen Bericht zu genügen. Da die Vorinstanz ein derartiges Vorgehen unterlassen hat beziehungsweise keine den von der Rechtsprechung gestellten Anforderungen entsprechenden Beurteilungen betreffend die rheumatologischen gesundheitlichen Beeinträchtigungen vorliegen, kann bereits aus diesem Grund nicht auf den Bericht von Dr. med. A._______ vom 12. Februar 2008 abgestellt werden. Insbesondere fällt die Beantwortung der Frage, ob aufgrund der vom Physiater Dr. med. D._______ diagnostizierten "Sacralisation vert. L5" sowie "Spondylosis und Discarthrosis vert. L5-S1" eine länger andauernde Arbeitsunfähigkeit vorliegt, in die Kompetenz eines entsprechenden Spezialarztes. Hinzu kommt, dass die aus psychiatrischer Sicht von Dr. med. A._______ postulierte Arbeitsfähigkeit von 100% nicht rechtsgenüglich begründet wurde und mit Blick auf die Beurteilung von Dr. med. B._______ und Dr. med. C._______ auch nicht nachvollziehbar ist.</w:t>
      </w:r>
    </w:p>
    <w:p>
      <w:r>
        <w:rPr>
          <w:b/>
        </w:rPr>
        <w:t>E. 4.4</w:t>
      </w:r>
    </w:p>
    <w:p>
      <w:r>
        <w:t>Aufgrund der dem Gericht vorliegenden medizinischen Unterlagen lässt sich somit nicht beurteilen, ob, seit wann und in welchem Umfang Anspruch auf eine Invalidenrente besteht. Die angefochtene Verfügung ist daher aufzuheben und die Sache an die IVSTA zurückzuweisen, damit sie ergänzende medizinische Abklärungen (Durchführung einer rheumatologischen Begutachtung des Beschwerdeführers; medizinisch nachvollziehbar begründete Beurteilung betreffend [Rest-]Arbeitsfähigkeit und massgeblichen Zeitraum) vornehme und anschliessend über den Rentenanspruch neu verfüge. In diesem Sinne ist die Beschwerde teilweise gutzuheissen.</w:t>
      </w:r>
    </w:p>
    <w:p>
      <w:r>
        <w:rPr>
          <w:b/>
        </w:rPr>
        <w:t>E. 5</w:t>
      </w:r>
    </w:p>
    <w:p>
      <w:r>
        <w:t>Zu befinden bleibt noch über die Verfahrenskosten und eine allfällige Parteientschädigung.</w:t>
      </w:r>
    </w:p>
    <w:p>
      <w:r>
        <w:rPr>
          <w:b/>
        </w:rPr>
        <w:t>E. 5.1</w:t>
      </w:r>
    </w:p>
    <w:p>
      <w:r>
        <w:t>Das Bundesverwaltungsgericht auferlegt gemäss Art. 63 Abs. 1 VwVG die Verfahrenskosten in der Regel der unterliegenden Partei. Eine Rückweisung gilt praxisgemäss als Obsiegen der beschwerdeführenden Partei (BGE 132 V 215 E. 6), so dass der geleistete Kostenvorschuss von Fr. 300.- dem Beschwerdeführer auf ein von ihm anzugebendes Konto zurückzuerstatten ist. Der Vorinstanz werden keine Verfahrenskosten auferlegt (Art. 63 Abs. 2 VwVG).</w:t>
      </w:r>
    </w:p>
    <w:p>
      <w:r>
        <w:rPr>
          <w:b/>
        </w:rPr>
        <w:t>E. 5.2</w:t>
      </w:r>
    </w:p>
    <w:p>
      <w:r>
        <w:t>Da dem obsiegenden Beschwerdeführer, welcher nicht anwaltlich vertreten war, keine unverhältnismässig hohen Kosten entstanden sind und dieser zu Recht keinen entsprechenden Antrag gestellt hat, ist keine Parteientschädigung zuzusprechen (vgl. Art. 64 Abs. 1 VwVG und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