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C-348/2008 vom 15. September 2010</w:t>
      </w:r>
    </w:p>
    <w:p>
      <w:r>
        <w:t>Bundesverwaltungsgericht, 2010-09-15, FR</w:t>
      </w:r>
    </w:p>
    <w:p>
      <w:r>
        <w:rPr>
          <w:b/>
        </w:rPr>
        <w:t xml:space="preserve">Quelle: </w:t>
      </w:r>
      <w:r>
        <w:t>https://mcp.opencaselaw.ch/entscheid/bvger_C-348_2008</w:t>
      </w:r>
    </w:p>
    <w:p>
      <w:r>
        <w:t>FR: TAF C-348/2008 du 15 septembre 2010</w:t>
      </w:r>
    </w:p>
    <w:p>
      <w:r>
        <w:t>IT: TAF C-348/2008 del 15 settembre 2010</w:t>
      </w:r>
    </w:p>
    <w:p>
      <w:pPr>
        <w:pStyle w:val="Heading2"/>
      </w:pPr>
      <w:r>
        <w:t>Regeste</w:t>
      </w:r>
    </w:p>
    <w:p>
      <w:r>
        <w:t>Evaluation de l'invalidité</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 en temps utile et dans les formes requises par la loi (art. 60 LPGA et art. 52 PA), le recours est recevable.</w:t>
      </w:r>
    </w:p>
    <w:p>
      <w:r>
        <w:rPr>
          <w:b/>
        </w:rPr>
        <w:t>E. 2.1</w:t>
      </w:r>
    </w:p>
    <w:p>
      <w:r>
        <w:t>La recourante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 ATF 130 V 253 consid. 2.4).</w:t>
      </w:r>
    </w:p>
    <w:p>
      <w:r>
        <w:rPr>
          <w:b/>
        </w:rPr>
        <w:t>E. 2.2</w:t>
      </w:r>
    </w:p>
    <w:p>
      <w:r>
        <w:t>S'agissant du droit matériel applicable, il convient encore de préciser, eu égard au principe selon lequel les règles applicables sont celles en vigueur au moment où les faits juridiquement déterminants se sont produits (ATF 130 V 445 consid. 1.2), que la présente cause est régie par la LAI et par son ordonnance d'exécution dans leur teneur en vigueur jusqu'au 31 décembre 2007. La décision litigieuse datant du 7 décembre 2007 et marquant la limite dans le temps du pouvoir d'examen de l'autorité de recours (ATF 130 V 445 consid. 1.2), les modifications introduites par la novelle du 6 octobre 2006 (5e révision), entrées en vigueur le 1er janvier 2008 (RO 2007 5129), ne sont pas prises en considération.</w:t>
      </w:r>
    </w:p>
    <w:p>
      <w:r>
        <w:rPr>
          <w:b/>
        </w:rPr>
        <w:t>E. 3</w:t>
      </w:r>
    </w:p>
    <w:p>
      <w:r>
        <w:t>Le litige porte sur le droit de la recourante aux prestations de l'assurance-invalidité.</w:t>
      </w:r>
    </w:p>
    <w:p>
      <w:r>
        <w:rPr>
          <w:b/>
        </w:rPr>
        <w:t>E. 4</w:t>
      </w:r>
    </w:p>
    <w:p>
      <w:r>
        <w:t>Pour avoir droit à une rente de l'assurance-invalidité suisse, la recourante doit remplir cumulativement les conditions suivantes: - être invalide au sens de la LPGA/LAI et - avoir versé des cotisations à l'AVS/AI durant une année au moins (art. 36 al. 1 LAI). En l'espèce, la recourante a versé des cotisations à l'AVS/AI pendant plus d'une année au total et remplit, partant, la condition de la durée minimale de cotisations.</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(chiffre marginal 2020 de la Circulaire concernant l'invalidité et l'impotence de l'assurance-invalidité [CIIAI] de l'Office fédéral des assurances sociales [OFAS], dans sa version valable dès le 1er janvier 2004; Jurisprudence et pratique administrative des autorités d'exécution de l'AVS/AI [Pratique VSI] 2/1998 p. 126 consid. 3c).</w:t>
      </w:r>
    </w:p>
    <w:p>
      <w:r>
        <w:rPr>
          <w:b/>
        </w:rPr>
        <w:t>E. 5.4</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5.5</w:t>
      </w:r>
    </w:p>
    <w:p>
      <w:r>
        <w:t>Il y a lieu de relever encore que la notion d'invalidité, dont il est question à l'art. 8 LPGA et à l'art. 4 LAI, est de nature juridique/économique et non pas médicale (ATF 116 V 246 consid. 1b). En d'autres termes, l'assurance-invalidité suisse couvre seulement les pertes économiques, respectivement une incapacité à accomplir les travaux habituels pour les assurés n'exerçant pas d'activité lucrative et dont on ne peut exiger qu'ils le fassent,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w:t>
      </w:r>
    </w:p>
    <w:p>
      <w:r>
        <w:rPr>
          <w:b/>
        </w:rPr>
        <w:t>E. 6.1</w:t>
      </w:r>
    </w:p>
    <w:p>
      <w:r>
        <w:t>Si le taux d'invalidité d'une personne exerçant une activité lucrative est fixé d'après la comparaison des revenus prévue à l'art. 16 LPGA, applicable par le renvoi de l'art. 28 al. 2 LAI, c'est-à-dire essentiellement selon des considérations économiques, l'invalidité des assurés qui n'exercent pas d'activité lucrative et dont on ne peut raisonnablement exiger qu'ils en entreprennent une est évaluée, en dérogation de l'art. 16 LPGA, en fonction de l'incapacité d'accomplir leurs travaux habituels (art. 28 al. 2bis LAI).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C'est la méthode générale. Par travaux habituels des personnes travaillant dans le ménage, il faut entendre notamment l'activité usuelle dans le ménage, l'éducation des enfants. C'est la méthode spécifique (art. 5 al. 1 LAI, art. 28 al. 2bis LAI en corrélation avec les art. 27 du règlement du 17 janvier 1961 sur l'assurance-invalidité [RAI, RS 831.201] et 8 al. 3 LPGA).</w:t>
      </w:r>
    </w:p>
    <w:p>
      <w:r>
        <w:rPr>
          <w:b/>
        </w:rPr>
        <w:t>E. 6.2</w:t>
      </w:r>
    </w:p>
    <w:p>
      <w:r>
        <w:t>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w:t>
      </w:r>
    </w:p>
    <w:p>
      <w:r>
        <w:rPr>
          <w:b/>
        </w:rPr>
        <w:t>E. 7</w:t>
      </w:r>
    </w:p>
    <w:p>
      <w:r>
        <w:t>En l'espèce, l'autorité inférieure a retenu que l'éventuelle invalidité de l'assurée devait être déterminée selon la méthode spécifique. Elle peut être suivie sur ce point. Le Tribunal de céans constate en effet que la recourante a travaillé de 1974 à 1993, abandonnant son travail en Suisse en raison de son retour en Espagne où elle n'a pas repris d'activité lucrative.</w:t>
      </w:r>
    </w:p>
    <w:p>
      <w:r>
        <w:rPr>
          <w:b/>
        </w:rPr>
        <w:t>E. 8</w:t>
      </w:r>
    </w:p>
    <w:p>
      <w:r>
        <w:t>L'application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 attestée médicalement - du rendement fonctionnel dans l'accomplissement des travaux habituels.</w:t>
      </w:r>
    </w:p>
    <w:p>
      <w:r>
        <w:rPr>
          <w:b/>
        </w:rPr>
        <w:t>E. 8.1</w:t>
      </w:r>
    </w:p>
    <w:p>
      <w:r>
        <w:t>Il convient de relever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 ATF 117 V394 consid. 4b p. 400, ATF 115 V 38 consid. 3d, ATF 114 V 281 consid. 3, ATF 111 V 235 consid. 2a). Le fait que l'assuré ne mette pas en valeur sa capacité résiduelle de travail pour des raisons étrangères à l'invalidité ne relève pas de l'assurance-invalidité, car il s'agit là de facteurs qui ne sont pas liés à l'invalidité et que l'assurance-invalidité n'est pas tenue de prendre en charge (RCC 1991 p. 329 consid. 3c). Ainsi, afin de satisfaire à l'obligation de réduire le dommage, l'assuré qui s'occupe du ménage, s'il n'accomplit que difficilement ou avec un investissement temporel beaucoup plus important certains travaux ménagers en raison de son handicap, doit, de sa propre initiative, faire ce que l'on peut raisonnablement attendre de lui pour améliorer sa capacité de travail, par exemple en organisant son travail, en adoptant une méthode de travail adéquate ou en faisant l'acquisition d'équipements et d'appareils ménagers appropriés; l'assuré demandera également, dans une mesure convenable, l'aide de ses proches. Il sied de préciser à cet égard qu'une incapacité relevante ne peut être admise chez une personne travaillant dans le ménage que si les tâches lui incombant doivent être assumées par des tiers contre rémunération ou par des proches qui subissent de ce fait une perte de gain ou, du moins, une charge extraordinaire. L'aide des proches va ainsi plus loin que ce que l'on pourrait normalement attendre d'eux si l'assuré ne présentait pas d'atteinte à la santé. Le fait que le devoir d'assistance mutuelle entre conjoints et entre parents et enfants ne soit pas réalisable ou exécutoire directement, pour autant qu'il soit fondé sur la bonne volonté et librement consenti, n'influe pas sur l'obligation de diminuer le dommage de l'assuré travaillant dans le ménage. En effet, il faut considérer, dans le domaine du travail domestique, ce qui, dans une réalité sociale, est usuel et exigible, indépendamment du fait que l'assistance soit effectivement réalisable (ATF 133 V 504 consid. 4.2 et les références, ATF 130 V 97 consid. 3.3.3, arrêt du Tribunal fédéral I 257/04 du 17 mars 2005 consid. 5.4.4). A noter que la jurisprudence rendue sur l'application de la méthode spécifique n'a pas été modifiée du fait de l'entrée en vigueur de la LPGA.</w:t>
      </w:r>
    </w:p>
    <w:p>
      <w:r>
        <w:rPr>
          <w:b/>
        </w:rPr>
        <w:t>E. 8.2</w:t>
      </w:r>
    </w:p>
    <w:p>
      <w:r>
        <w:t>Conformément à la jurisprudence du Tribunal fédéral, une enquête ménagère effectuée au domicile de la personne assurée constitue en règle générale une base appropriée et suffisante pour évaluer les empêchements dans l'accomplissement des travaux habituels (Pratique VSI 3/2001 p. 155 consid. 3c).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du Tribunal fédéral 9C_406/2008 du 22 juillet 2008 consid. 4.2 et 9C_313/2007 du 8 janvier 2008 consid. 4.1, ATF 128 V 93).</w:t>
      </w:r>
    </w:p>
    <w:p>
      <w:r>
        <w:rPr>
          <w:b/>
        </w:rPr>
        <w:t>E. 8.3</w:t>
      </w:r>
    </w:p>
    <w:p>
      <w:r>
        <w:t>Malgré qu'en règle générale, une telle enquête ne soit pas réalisée auprès des assurés résidant à l'étranger, l'appréciation de l'incapacité de l'assuré dans l'accomplissement des travaux habituels doit néanmoins, dans la mesure du possible, se fonder sur des principes analogues. Cette appréciation reposera en particulier sur une documentation médicale et sur le questionnaire pour les assurés travaillant dans le ménage, bien que celui-ci, habituellement rempli par les assurés eux-mêmes, ne puisse être assimilé à un rapport d'enquête sur les activités ménagères effectué par un enquêteur habilité, auquel la jurisprudence reconnaît, en principe, valeur probante. Ce document ne peut donc, à lui seul, justifier que l'on s'écarte des conclusions retenues par les médecins-conseils de l'Office AI (arrêt du Tribunal fédéral I 407/03 du 15 septembre 2003 consid. 4.3).</w:t>
      </w:r>
    </w:p>
    <w:p>
      <w:r>
        <w:rPr>
          <w:b/>
        </w:rPr>
        <w:t>E. 9.1</w:t>
      </w:r>
    </w:p>
    <w:p>
      <w:r>
        <w:t>En l'espèce il est établi que la recourante souffre notamment de fibromyalgie et de chondromalacie rotulienne. Il est également fait état, en particulier de troubles au niveau psychique, d'une sclérose des cartilages articulaires et d'une insuffisance vertébro-basilaire avec vertiges et instabilité. Faute d'un état de santé stabilisé, la let. a de l'art. 29 al. 1 est inapplicable; seule peut entrer en considération la let. b de cette disposition prévoyant une période d'attente d'une année à partir du début de l'incapacité de travail pertinente pour la détermination du droit à la rente.</w:t>
      </w:r>
    </w:p>
    <w:p>
      <w:r>
        <w:rPr>
          <w:b/>
        </w:rPr>
        <w:t>E. 9.2</w:t>
      </w:r>
    </w:p>
    <w:p>
      <w:r>
        <w:t>S'agissant de l'influence de ces pathologies sur la capacité de la recourante à accomplir ses travaux habituels, il ressort notamment du questionnaire pour assurés travaillant dans le ménage du 25 mars 2006, qu'elle n'est pas toujours capable de conduire le ménage, composé de 2 adultes, mais peut préparer les repas, laver la vaisselle (lave-vaisselle à disposition) et faire la lessive (avec machine à laver), sur une courte période éplucher et couper les fruits et les légumes et avec difficulté nettoyer les sols et la cuisine, faire les lits et repasser; elle n'est par contre pas en mesure d'étendre le linge, de raccommoder ou coudre. L'assurée relève qu'elle recourt, pour l'entretien du ménage ou pour d'autres tâches, à l'aide des membres de sa famille à raison de 5 heures par semaine. Il résulte ainsi du questionnaire du 25 mars 2006 que la recourante peut s'acquitter seule d'une grande partie des activités du ménage et qu'elle a développé, pour le reste, des méthodes de travail, en y intégrant de manière adéquate l'aide que peuvent lui apporter ponctuellement des membres de sa famille. L'autorité de céans constate en outre que les informations fournies par la recourante dans le questionnaire du 25 mars 2006 sont crédibles, de sorte qu'il convient d'en tenir compte. Toutefois, attendu qu'elles proviennent de l'assurée elle-même et non pas d'une personne extérieure chargée d'une enquête ménagère, il y a lieu d'examiner également sur la base de la documentation médicale versée au dossier dans quelle mesure l'assurée subit une diminution de sa capacité de travail dans l'accomplissement des tâches domestiques.</w:t>
      </w:r>
    </w:p>
    <w:p>
      <w:r>
        <w:rPr>
          <w:b/>
        </w:rPr>
        <w:t>E. 9.3</w:t>
      </w:r>
    </w:p>
    <w:p>
      <w:r>
        <w:t>Le Tribunal fédéral a déjà considéré que la fibromyalgie peut être assimilée à un trouble somatoforme, plus particulièrement au syndrome douloureux somatoforme persistant (arrêt P. du 10 mars 2003, I 721/02; cf. P. A. Buchard, "Peut-on encore poser le diagnostic de fibromyalgie ?", in: Revue médicale de la Suisse romande 2001, p. 443, spécialement p. 446; cf. aussi Meyer-Blaser, Der Rechtsbegriff der Arbeitsunfähigkeit und seine Bedeutung in der Sozialversicherung, namentlich für den Einkommensvergleich in der Invaliditätsbemessung, in: Schaffauser/Schlauri [éd.], Schmerz und Arbeitsunfähigkeit, St-Gall 2003, p. 64 n. 93). Les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Au demeurant, par exemple,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 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(cf. ATF 132 V 65 consid. 4.2.2, 131 V 50, 130 V 354; Pirrotta, op. cit., 525 s.). Tel est le cas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(cf. ATF 132 V 65 consid. 4.2).</w:t>
      </w:r>
    </w:p>
    <w:p>
      <w:r>
        <w:rPr>
          <w:b/>
        </w:rPr>
        <w:t>E. 9.4</w:t>
      </w:r>
    </w:p>
    <w:p>
      <w:r>
        <w:t>Le Dr P._______, dans le rapport E 213 du 21 juillet 2005 constate que la fibromyalgie et la chondromalacie rotulienne diagnostiquées, sont sans répercussion fonctionnelles significatives et considère que l'assurée est capable d'exercer, sans aucune limitation, des activités avec effort moyen. Cet avis est partagé par le Dr A._______, qui, dans le rapport E 213 du 7 mai 2007 ne signale pas de déficits fonctionnels et note que l'assurée peut effectuer une activité moyenne, là encore sans limitation; il précise en outre qu'aucune invalidité ne peut être constatée en vertu de la législation du pays de résidence. La Dresse H._______, médecin de l'OAIE, relève également, dans ses rapports des 17 août 2007 et 30 novembre 2007, que la fibromyalgie et la chondromalacie rotulienne sont pour l'assurée, qui est à considérer comme ménagère, sans répercussion fonctionnelle avérée et qu'il n'y a pas d'atteinte psychiatrique; elle retient néanmoins une incapacité de travail de 20% dans l'activité habituelle dès le 26 mai 2005. En outre, les différents rapports médicaux versés en cause des Dr Z._______, R._______, W._______, V._______, J._______, tous très succincts, mentionnent une fibromyalgie sans qu'aucune limitation fonctionnelle ne soit relevée. Le Dr Q._______, dans sa prise de position du 3 octobre 2008, va dans le même sens. Seul le Dr Y._______ considère que la recourante présente une incapacité de travail de 65%. Cependant, dans la mesure où le certificat médical de ce médecin date du 14 janvier 2008 et a été établi suite à un examen du 11 janvier 2008, il s'avère postérieur à la décision litigieuse et ne doit être considéré que pour autant qu'il concerne la période soumise à l'examen du Tribunal de céans, à savoir la période allant jusqu'au 7 décembre 2007, date de la décision contestée. Ceci n'est toutefois pas le cas en l'espèce puisque les résultats observés par le Dr Y._______ reflètent la situation de la recourante au moment où ils ont été observés. Au demeurant, il convient de relever que cette évaluation de l'incapacité de la recourante est peu convaincante et motivée, se contentant de poser des diagnostics, - dont celui de sévère fibromyalgie et de syndrome dépressif chronique qui ne sont confirmés par aucun autre avis médical - et d'indiquer le degré d'incapacité, sans décrire les limitations fonctionnelles qui le justifient. Du point de vue psychiatrique, l'expertise du Dr B._______ du 3 avril 2007 ne retient aucune incapacité de cause psychiatrique; le médecin relève en outre que l'assurée est bien orientée, est clairement consciente, soignée, empathique et collaborante. Elle a une bonne résonance affective et est très bien entourée par sa famille, ce qui signifie également qu'elle est bien intégrée et a conservé ses relations sociales. Il décrit une patiente avec exploration psychopathologique anodine et conclut à une absence d'atteinte psychique. Le Dr Y._______ cependant, retient un syndrome dépressif chronique; le rapport du 14 janvier 2008 de ce médecin ne saurait toutefois être retenu, ne présentant pas une valeur probante suffisante dans la mesure où il ne relève pas de status psychiatrique et ne mentionne que des diagnostics sans les étayer et les justifier. En outre, comme on l'a vu, il est postérieur à la décision querellée et doit être écarté pour ce motif également. Par ailleurs, le rapport médical détaillé E 213 du 7 mai 2007, ainsi que les prises de position médicales de la Dresse H._______ arrivent à la même conclusion que le Dr B._______, l'intéressée ne souffrant pas de maladie psychiatrique. Le Dr Q._______, médecin psychiatre du service médical de l'OAIE retient également qu'il n'est fait nulle part mention d'une affection psychiatrique préexistante; qu'en outre, le diagnostic de dépression ne peut être retenu, mais tout au plus celui de perturbation anxio-dépressive mixte, tel que d'ailleurs admis également par la Dresse G._______ dans ses certificats médicaux des 16 juin et 7 novembre 2008; selon le Dr Q._______, ni le diagnostic de troubles anxieux, ni celui de dépression ne peut être établi.</w:t>
      </w:r>
    </w:p>
    <w:p>
      <w:r>
        <w:rPr>
          <w:b/>
        </w:rPr>
        <w:t>E. 9.5</w:t>
      </w:r>
    </w:p>
    <w:p>
      <w:r>
        <w:t>Le tribunal de céans ne saurait dès lors retenir la présence d'une comorbidité psychiatrique significative. Il s'ensuit que les pathologies dont est atteinte l'intéressée ne peuvent être retenues selon la jurisprudence comme invalidantes car elles ne sont pas en relation avec une comorbidité psychiatrique suffisante ou une situation telle que l'intéressée ne puisse y faire face dans ses activités ménagères et son cadre familial. Il y a lieu de rappeler ici que l'assurée a indiqué, dans le questionnaire pour les assurés travaillant dans le ménage qu'elle a rempli en date du 25 mars 2006, qu'elle était capable d'effectuer une grande partie des tâches ménagères, certes avec parfois l'aide de membres de sa famille. Dans ces conditions, au vu de la documentation médicale versée au dossier, l'évaluation effectuée par l'autorité inférieure paraît convaincante. Il appert ainsi, au regard des données médicales à disposition, suffisantes pour se prononcer en l'espèce, que la recourante n'a pas subi d'incapacité de travail dans les tâches ménagères d'au moins 40% pendant une année sans interruption notable, au sens des dispositions légales en vigueur. Il s'ensuit que c'est à juste titre que l'OAIE a rejeté la demande de prestations de l'assurance-invalidité suisse déposée par la recourante. Le recours doit par conséquent être rejeté et la décision entreprise confirmée.</w:t>
      </w:r>
    </w:p>
    <w:p>
      <w:r>
        <w:rPr>
          <w:b/>
        </w:rPr>
        <w:t>E. 10.1</w:t>
      </w:r>
    </w:p>
    <w:p>
      <w:r>
        <w:t>Vu l'issue de la cause, les frais de procédure, fixés par le Tribunal administratif fédéral à Fr. 400.- sont mis à la charge de la recourante (art. 63 al. 1 PA et art. 3 let. b du règlement du 21 février 2008 concernant les frais, dépens et indemnités fixés par le Tribunal administratif fédéral [FITAF, RS 173.320.2]). Ce montant est compensé avec l'avance de frais fournie.</w:t>
      </w:r>
    </w:p>
    <w:p>
      <w:r>
        <w:rPr>
          <w:b/>
        </w:rPr>
        <w:t>E. 11</w:t>
      </w:r>
    </w:p>
    <w:p>
      <w:r>
        <w:t>Il n'est pas alloué de dépens (art. 64 al. 1 PA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