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C-3488/2017 vom 12. Juni 2018</w:t>
      </w:r>
    </w:p>
    <w:p>
      <w:r>
        <w:t>Bundesverwaltungsgericht, 2018-06-12, DE</w:t>
      </w:r>
    </w:p>
    <w:p>
      <w:r>
        <w:rPr>
          <w:b/>
        </w:rPr>
        <w:t xml:space="preserve">Quelle: </w:t>
      </w:r>
      <w:r>
        <w:t>https://mcp.opencaselaw.ch/entscheid/bvger_C-3488_2017</w:t>
      </w:r>
    </w:p>
    <w:p>
      <w:r>
        <w:t>FR: TAF C-3488/2017 du 12 juin 2018</w:t>
      </w:r>
    </w:p>
    <w:p>
      <w:r>
        <w:t>IT: TAF C-3488/2017 del 12 giugno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ergibt sich aus Art. 109 Bst. b des Bundesgesetzes vom 20. März 1981 über die Unfallversicherung (UVG, SR 832.20).</w:t>
      </w:r>
    </w:p>
    <w:p>
      <w:r>
        <w:rPr>
          <w:b/>
        </w:rPr>
        <w:t>E. 1.3</w:t>
      </w:r>
    </w:p>
    <w:p>
      <w:r>
        <w:t>Anfechtungsobjekt ist vorliegend der Einspracheentscheid der Vorinstanz vom 18. Mai 2017, in welchem sie ihre Verfügung vom 27. März 2017 bestätigt, in welcher die Beschwerdeführerin in neue Gefahrenklassen, Stufen und Unterklassen eingereiht und der Endprämiensatz neu festgesetzt wurde. Somit ist das Bundesverwaltungsgericht für die Beurteilung der Streitsache zuständig. Soweit vorliegend jedoch die konkrete Festsetzung der Prämie und die Verletzung von Vertragsrecht geltend gemacht wird, ist das Bundesverwaltungsgericht für die Behandlung dieser Rügen nicht zuständig (zur Abgrenzung vgl. Urteil des Bundesgerichts U 18/03 vom 20. November 2003 E. 4.3.2; Urteil des BVGer C-1362/2016 vom 23. März 2017 E. 1.2).</w:t>
      </w:r>
    </w:p>
    <w:p>
      <w:r>
        <w:rPr>
          <w:b/>
        </w:rPr>
        <w:t>E. 1.4</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1.5</w:t>
      </w:r>
    </w:p>
    <w:p>
      <w:r>
        <w:t>Die Beschwerdeführerin hat am vorinstanzlichen Verfahren teilgenom-men, ist als Adressat durch die angefochtene Einspracheverfügung vom 18. Mai 2017 in besonderer Weise berührt und hat an deren Aufhebung oder Änderung ein schutzwürdiges Interesse (Art. 48 Abs. 1 VwVG; vgl. auch Art. 59 ATSG). Sie ist zur Beschwerde legitimiert.</w:t>
      </w:r>
    </w:p>
    <w:p>
      <w:r>
        <w:rPr>
          <w:b/>
        </w:rPr>
        <w:t>E. 1.6</w:t>
      </w:r>
    </w:p>
    <w:p>
      <w:r>
        <w:t>Die Beschwerde wurde frist- und formgerecht eingereicht. Da auch der Kostenvorschuss von Fr. 2'000.- rechtzeitig bezahlt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für die Einreihung der Betriebe wichtigsten gesetzlichen Bestimmungen und massgebenden Grundsätze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Gemäss Art. 115 Abs. 1 der Verordnung über die Unfallversicherung vom 20. Dezember 1982 (UVV, SR 832.202)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 (Urteil des BVGer C-3651/2015 vom 14. Juli 2017 E. 3.4.5).</w:t>
      </w:r>
    </w:p>
    <w:p>
      <w:r>
        <w:rPr>
          <w:b/>
        </w:rPr>
        <w:t>E. 4</w:t>
      </w:r>
    </w:p>
    <w:p>
      <w:r>
        <w:t>Die Beschwerdeführerin macht geltend, das rechtliche Gehör sei verletzt worden. Die Begründung für die Neueinreihung sei weder nachvollzieh- noch überprüfbar.</w:t>
      </w:r>
    </w:p>
    <w:p>
      <w:r>
        <w:rPr>
          <w:b/>
        </w:rPr>
        <w:t>E. 4.1</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ist wesentlicher Bestandteil des Anspruchs auf rechtliches Gehör im Sinne von Art. 29 Abs. 2 BV. Sie ist betreffend Einspracheentscheiden auch in Art. 52 Abs. 2 ATSG verankert.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4.2</w:t>
      </w:r>
    </w:p>
    <w:p>
      <w:r>
        <w:t>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C-2615/2014 vom 30. Januar 2017 E. 4.1 mit Hinweisen auf das Urteil des BVGer C-532/2009 vom 20. August 2012 E. 3.5.2 und auf BVGE 2007/27 E. 9.3).</w:t>
      </w:r>
    </w:p>
    <w:p>
      <w:r>
        <w:rPr>
          <w:b/>
        </w:rPr>
        <w:t>E. 4.3</w:t>
      </w:r>
    </w:p>
    <w:p>
      <w:r>
        <w:t>Zu prüfen ist, ob die Begründung der Vorinstanz bezüglich den Voraussetzungen für eine Neueinreihung und der Nachvollziehbarkeit der tarifgemässen Neueinreihung den rechtlichen Mindestanforderungen entspricht.</w:t>
      </w:r>
    </w:p>
    <w:p>
      <w:r>
        <w:rPr>
          <w:b/>
        </w:rPr>
        <w:t>E. 4.3.1</w:t>
      </w:r>
    </w:p>
    <w:p>
      <w:r>
        <w:t>In der Verfügung vom 27. März 2017 führte die Vorinstanz als Begründung für die Neueinreihung einzig aus, der Rahmenvertrag mit der Brokerin sei Ende 2015 aufgelöst worden, weshalb die daraus resultierenden Vorteile für die Beschwerdeführerin weggefallen seien und der Betrieb nun gemäss ordentlichem Tarif eingereiht werde (BU: 64/10, NBU: 12/10, Prämiensätze: 3.97 perthousand [BU], 12.50 perthousand [NBU]).</w:t>
      </w:r>
    </w:p>
    <w:p>
      <w:r>
        <w:rPr>
          <w:b/>
        </w:rPr>
        <w:t>E. 4.3.2</w:t>
      </w:r>
    </w:p>
    <w:p>
      <w:r>
        <w:t>Im angefochtenen Einspracheentscheid vom 18. Mai 2017 führte sie zusätzlich aus, der schlechte Schadenverlauf der Risikogemeinschaft der 13 Alters- und Pflegeheime sei der Grund für die Neueinreihung der Beschwerdeführerin. Der Rahmenvertrag sei aufgrund der von der Vorinstanz festgestellten Antiselektion und übermässigen Schadenhöhe gekündigt worden. Der Betrieb sei alsdann vertragskonform in die korrekte BU- und NBU-Klasse und Stufe/Unterklasse eingeteilt worden. Von einer Explosion der Endprämiensätze könne nicht gesprochen werden, lägen doch sowohl die BU- als auch die NBU-Einstufung immer noch weit unter den für gleiche Risiken gültigen Standardstufen resp. Unterklassen (Standard Stufe BU 10 / Standard Unterklasse NBU 10) des aktuellen Prämientarifs UVG.</w:t>
      </w:r>
    </w:p>
    <w:p>
      <w:r>
        <w:rPr>
          <w:b/>
        </w:rPr>
        <w:t>E. 4.4</w:t>
      </w:r>
    </w:p>
    <w:p>
      <w:r>
        <w:t>Die Beschwerdeführerin macht dazu geltend, die Vorinstanz habe zwar auf die festgestellte Antiselektion und auf die übermässige Schadenhöhe der im Rahmenvertrag versicherten Betriebe verwiesen. Jedoch seien weder mathematisch-statistische Erkenntnisse noch sekundäre Risikomerkmale, welche eine Neueinreihung rechtfertigen würden, hinreichend begründet. Sie habe nicht dargelegt, was innerhalb von nur zwei Jahren eine derart massive Höhereinstufung der Beschwerdeführerin rechtfertige. Die Gesetzmässigkeit der Prämienberechnung, beruhend auf den der Beschwerdeführerin zugeteilten Klassen und Stufen, könne anhand des Einspracheentscheids nicht überprüft werden. Schon aus diesem Grund sei der Einspracheentscheid aufzuheben.</w:t>
      </w:r>
    </w:p>
    <w:p>
      <w:r>
        <w:rPr>
          <w:b/>
        </w:rPr>
        <w:t>E. 5.1</w:t>
      </w:r>
    </w:p>
    <w:p>
      <w:r>
        <w:t>Es ist festzuhalten, dass die Vorinstanz im Einspracheentscheid darauf verzichtet hat, auf einzelne Bestimmungen des Tarifs Bezug zu nehmen. Weiter fällt auf, dass die Vorinstanz den Prämientarif (2014 und 2016) oder zumindest die massgeblichen Auszüge daraus dem Einspracheentscheid nicht beigelegt hat. Auch hat die Vorinstanz im Einspracheentscheid weder konkrete Schadenzahlen genannt noch das Verfahren für die Schadenbemessung bzw. das Verfahren für eine Neueinreihung dargelegt.</w:t>
      </w:r>
    </w:p>
    <w:p>
      <w:r>
        <w:rPr>
          <w:b/>
        </w:rPr>
        <w:t>E. 5.2</w:t>
      </w:r>
    </w:p>
    <w:p>
      <w:r>
        <w:t>Damit hatte die Beschwerdeführerin keine Möglichkeit zu überprüfen, ob tatsächlich eine übermässige Schadenbelastung erstens der Beschwerdeführerin selbst und zweitens der durch die im Rahmenvertrag beteiligten 13 Institutionen vorlag. Denn die Vorinstanz nannte die dafür massgeblichen Zahlen weder in der Verfügung noch im Einspracheentscheid, sondern - nur bezüglich der Beschwerdeführerin selbst - erst in ihrer Vernehmlassung (act. 6 Ziff. 3.5). Somit konnte die Beschwerdeführerin nicht nachvollziehen, ob die Voraussetzungen für eine Neueinreihung gemäss Art. 92 Abs. 5 UVG vorlagen. Eine sachgerechte Anfechtung des Einspracheentscheids war so nicht möglich (vgl. vorne E. 4). Hinzu kommt, dass die Beschwerdeführerin in Ermangelung des Tarifs auch nicht nachvollziehen konnte, wie der Schadenverlauf konkret gemessen wird. Im Prämientarif - er liegt dem Gericht ebenfalls nicht vor - müsste das Verfahren für die Bemessung des Schadenverlaufs und der Neueinreihung zwingend geregelt sein (Bemessungsperiode, Bemessungsfaktoren etc., vgl. nachfolgend E. 5.5, 6.6).</w:t>
      </w:r>
    </w:p>
    <w:p>
      <w:r>
        <w:rPr>
          <w:b/>
        </w:rPr>
        <w:t>E. 5.3</w:t>
      </w:r>
    </w:p>
    <w:p>
      <w:r>
        <w:t>Weiter hatte die Beschwerdeführerin in Ermangelung des Tarifs auch nicht die Möglichkeit zu prüfen, ob die Einreihung des Betriebs tarifgerecht vorgenommen wurde, falls die Voraussetzungen für eine Neueinreihung tatsächlich vorgelegen hätten. Die Vorinstanz führte in Ziffer 2.3 des Einspracheentscheids zwar aus, der Betrieb sei nun vertragskonform in die korrekte BU- und NBU-Klasse (Stufe/Unterklasse) eingereiht worden, konkret in die Klasse 64, Stufe 10 (BU) und in die Klasse 12, Unterklasse 10 (NBU); aus dieser Begründung geht jedoch nicht hervor, warum die konkrete Einreihung in die Stufe 10 (und z. B. nicht in die Stufe 04 oder 06 oder 08) bzw. in die Unterklasse 10 (und nicht z. B. 03, 05 etc.) vorgenommen wurde. Die diesbezügliche Begründung ist ebenfalls ungenügend; sie ermöglichte eine sachgerechte Anfechtung in Bezug auf die Zuteilung der Stufen bzw. Unterklassen ebenfalls nicht (vgl. vorne E. 4). Gar nicht nachvollziehbar ist die Aussage der Vorinstanz in Ziff. 2.2 des Einspracheentscheids, wonach "von einer Explosion der Endprämiensätze nicht gesprochen werden könne, seien sowohl die BU- als auch die NBU-Einstufung immer noch weit unter der für gleiche Risiken gültigen Standardstufen resp. Unterklassen (Standard: BU-Stufe10 /NBU-Unterklasse 10); denn genau in diese Stufe bzw. Unterklasse hat die Vorinstanz die Beschwerdeführerin neu eingereiht.</w:t>
      </w:r>
    </w:p>
    <w:p>
      <w:r>
        <w:rPr>
          <w:b/>
        </w:rPr>
        <w:t>E. 5.4</w:t>
      </w:r>
    </w:p>
    <w:p>
      <w:r>
        <w:t>An dieser Stelle ist auf die Aufklärungs- und Beratungspflicht der Versicherer hinzuweisen. Gemäss Art. 27 Abs. 1 ATSG sind die Versicherungsträger und Durchführungsorgane der einzelnen Sozialversicherungen verpflichtet, im Rahmen ihres Zuständigkeitsbereiches die interessierten Personen über ihre Rechte und Pflichten aufzuklären. Diese allgemeine und permanente Aufklärungspflicht, die nicht erst auf persönliches Verlangen der interessierten Personen zu erfolgen hat, wird hauptsächlich durch die Abgabe von Informationsbroschüren, Merkblättern und Wegleitungen erfüllt. Die Beratungspflicht des Versicherungsträger ist in Abs. 2 und Abs. 3 derselben Bestimmung geregelt (vgl. dazu BGE 131 V 472 E. 4; BVGE 2007/27 E. 9.4).</w:t>
      </w:r>
    </w:p>
    <w:p>
      <w:r>
        <w:rPr>
          <w:b/>
        </w:rPr>
        <w:t>E. 5.5</w:t>
      </w:r>
    </w:p>
    <w:p>
      <w:r>
        <w:t>Nach der Rechtsprechung der Rekurskommission UV bildet die weitgehende Informationspflicht der Versicherer gegenüber den Versicherungsnehmern ein Gegengewicht zu ihrer Satzungskompetenz. Die Versicherer haben den bei ihr versicherten Betrieben den Zugang zu den Tarifgrundsätzen und -regeln zu gewährleisten. Die im konkreten Fall massgebenden Einreihungsregeln müssten dem Betrieb bekannt sein beziehungsweise bekannt gegeben werden. Weiter hat die Rekurskommission UV mehrfach kritisiert, dass gewisse Tarifregeln einerseits geheim gehalten werden beziehungsweise wurden, andererseits nicht in der Form von generell-abstrakten Regeln schriftlich formuliert seien (vgl. BVGE 2007/27 E. 9.4, unveröffentlichtes Urteil der Rekurskommission UV [REKU 627/05] vom 4. August 2006, E. 2d mit Hinweisen).</w:t>
      </w:r>
    </w:p>
    <w:p>
      <w:r>
        <w:rPr>
          <w:b/>
        </w:rPr>
        <w:t>E. 5.6</w:t>
      </w:r>
    </w:p>
    <w:p>
      <w:r>
        <w:t>Insgesamt ist vorliegend der Einspracheentscheid ungenügend begründet, da weder die massgeblichen Regeln aus dem Tarif noch die konkreten Zahlen des Schadenverlaufs genannt werden. Dadurch konnte die Beschwerdeführerin nicht überprüfen, ob erstens die Voraussetzungen für eine Neueinreihung im Sinne von Art. 92 Abs. 5 UVG vorlagen und zweitens, ob die neue Einreihung den tariflichen Grundlagen entsprach. Die Beschwerdeführerin konnte damit den Einspracheentscheid nicht in sachgerechter Weise anfechten.</w:t>
      </w:r>
    </w:p>
    <w:p>
      <w:r>
        <w:rPr>
          <w:b/>
        </w:rPr>
        <w:t>E. 5.7</w:t>
      </w:r>
    </w:p>
    <w:p>
      <w:r>
        <w:t>Dies führt dazu, dass die Vorinstanz durch die mangelhafte Begründung das rechtliche Gehör der Beschwerdeführerin verletzt hat. Dies muss umso mehr gelten, als die Beschwerdeführerin bereits in ihrer Einsprache moniert hatte, die Rechtmässigkeit der Zuteilung könne nicht überprüft werden und die verfügten Prämiensätze seien nicht begründet, nicht nachvollziehbar und damit willkürlich.</w:t>
      </w:r>
    </w:p>
    <w:p>
      <w:r>
        <w:rPr>
          <w:b/>
        </w:rPr>
        <w:t>E. 6</w:t>
      </w:r>
    </w:p>
    <w:p>
      <w:r>
        <w:t>Zu prüfen sind die Rechtsfolgen der festgestellten Gehörsverletzung.</w:t>
      </w:r>
    </w:p>
    <w:p>
      <w:r>
        <w:rPr>
          <w:b/>
        </w:rPr>
        <w:t>E. 6.1</w:t>
      </w:r>
    </w:p>
    <w:p>
      <w:r>
        <w:t>Der Anspruch auf rechtliches Gehör ist formeller Natur. Dessen Verletzung führt ungeachtet der Erfolgsaussichten der Beschwerde in der Sache selbst zur Aufhebung der angefochtenen Verfügung (BGE 127 V 431 E. 3d/aa, BGE 126 V 130 E. 2b mit Hinweisen; BVGE 2007/27 E. 10.1).Eine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6.2</w:t>
      </w:r>
    </w:p>
    <w:p>
      <w:r>
        <w:t>Zu prüfen ist somit, ob aufgrund der Akten, insbesondere aufgrund der Ausführungen der Vorinstanz in ihrer Vernehmlassung, die Voraussetzungen für eine ausnahmsweise Heilung des mangelhaften Einspracheentscheids gegeben sind.</w:t>
      </w:r>
    </w:p>
    <w:p>
      <w:r>
        <w:rPr>
          <w:b/>
        </w:rPr>
        <w:t>E. 6.3.1</w:t>
      </w:r>
    </w:p>
    <w:p>
      <w:r>
        <w:t>Zum Schadenverlauf bzw. zu den Voraussetzungen für eine Neueinreihung gemäss Art. 92 Abs. 5 UVG macht die Vorinstanz in der Vernehmlassung geltend, in den Jahren 2014 und 2015 habe die BU-Schadenbelastung durchschnittlich 122%, die NBU-Schadenbelastung 125% betragen (act. 6 Ziff. 3.5). Die Schadenbelastung 2014-2016 werde nach der neu verfügten Risikoeinreihung bei der BU bei rund 68% und bei der NBU bei rund 92% liegen. Durch die Prämienerhöhung werde die Solidarität unter den Betrieben in der Tarifklasse S._______ wiederhergestellt.</w:t>
      </w:r>
    </w:p>
    <w:p>
      <w:r>
        <w:rPr>
          <w:b/>
        </w:rPr>
        <w:t>E. 6.3.2</w:t>
      </w:r>
    </w:p>
    <w:p>
      <w:r>
        <w:t>Die Vorinstanz nennt zwar zum Schadenverlauf konkrete Zahlen. Da dem Gericht jedoch der Tarif nicht vorliegt, kann es nicht prüfen, ob die tariflichen Bestimmungen zur Bemessung des Schadenverlaufs und die tariflichen Bestimmungen zu den konkreten Voraussetzungen für eine Neueinreihung gemäss Art. 92 Abs. 5 UVG eingehalten wurden. Schon aus diesem Grund entfällt die Möglichkeit der Heilung.</w:t>
      </w:r>
    </w:p>
    <w:p>
      <w:r>
        <w:rPr>
          <w:b/>
        </w:rPr>
        <w:t>E. 6.4.1</w:t>
      </w:r>
    </w:p>
    <w:p>
      <w:r>
        <w:t>In Bezug auf die korrekte Neueinreihung in den Tarif führt die Vorinstanz in ihrer Vernehmlassung aus, die Beschwerdeführerin sei damals aufgrund einer falschen Antragstellung in die Tarifklasse 61 (Spitäler) statt 64 (Alters- und Pflegeheime [privat]) eingereiht worden und sie habe dadurch zusätzlich profitiert (act. 6 Ziff. 3.7, 3.8). Neu werde die Beschwerdeführerin in die korrekte Klasse und Stufe eingereiht. Dabei legt sie als Beilage einen Auszug aus dem Tarif bei, in welchem die beiden Tarifierungsnummern (R._______ [Spital, nicht psychiatrisch] und S._______ [Alters- und Pflegeheim, privat]) und die entsprechende Einreihung aufgelistet sind (act. 6 Beilage 6).</w:t>
      </w:r>
    </w:p>
    <w:p>
      <w:r>
        <w:rPr>
          <w:b/>
        </w:rPr>
        <w:t>E. 6.4.2</w:t>
      </w:r>
    </w:p>
    <w:p>
      <w:r>
        <w:t>Nachvollziehbar ist hier, dass sowohl im Tarif 2014 und im Tarif 2016 eine Tarifierungsnummer für Spitäler (R._______) sowie eine Tarifierungsnummer für Alters- und Pflegeheime (S._______) besteht und die Beschwerdeführerin neu in die Tarifnummer S._______ und in die Klasse 64 (BU) und 12 (NBU) eingeteilt worden ist. Auch nach Abschluss des Schriftenwechsels ist hingegen nicht nachvollziehbar, warum die Beschwerdeführerin in die Stufe 10 bzw. in die Unterklasse 10 eingereiht wurde. Dafür fehlen sowohl eine detaillierte Begründung als auch die massgeblichen tariflichen Grundlagen. Da der Tarif nicht vorliegt, ist es dem Gericht aufgrund der Akten nicht möglich zu prüfen, ob die Beschwerdeführerin in die richtige Stufe eingereiht worden ist. Auch aus diesem Grund entfällt die Möglichkeit der Heilung.</w:t>
      </w:r>
    </w:p>
    <w:p>
      <w:r>
        <w:rPr>
          <w:b/>
        </w:rPr>
        <w:t>E. 6.5</w:t>
      </w:r>
    </w:p>
    <w:p>
      <w:r>
        <w:t>Hinzuweisen ist zudem auf die zurückhaltende Überprüfung des Gerichts bei (versicherungs-)technischen Fragen (vgl. E. 2.2), die im vorliegenden Fall ebenfalls gegen eine ausnahmsweise Heilung spricht. Die zurückhaltende Überprüfung der Gerichte bei technischen Fragen ist dadurch begründet, dass deren Beurteilung einen hohen Wissensstand im entsprechenden Fachgebiet erfordert,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BVGE 2007/27 E. 10.4; Christoph Bandli, Die Rolle des Bundesverwaltungsgerichts, in: Neue Bundesrechtspflege, Berner Tage für juristische Praxis - BTJP 2006, Bern 2007, S. 215).</w:t>
      </w:r>
    </w:p>
    <w:p>
      <w:r>
        <w:rPr>
          <w:b/>
        </w:rPr>
        <w:t>E. 6.6</w:t>
      </w:r>
    </w:p>
    <w:p>
      <w:r>
        <w:t>Da dem Gericht u. a. die notwendigen tariflichen Unterlagen nicht vorliegen, ist es ihm nicht möglich, einen reformatorischen Entscheid zu treffen. Für den Fall, dass keine tariflichen Regeln existierten, z. B. in Bezug auf das Verfahren zur Schadensbemessung, wäre auf BVGE 2007/ 27 zu verweisen. Dort wird - in Bezug auf einen anderen Versicherer - in E. 10.3. festgehalten, dass nicht nur ein Informationsdefizit, sondern ein Regelungsdefizit vorliege (Urteil der Rekurskommission UV [REKU 627/05] vom 4. August 2006, E. 3b mit Hinweis). Dieser Mangel betreffe bereits das Verfügungsverfahren und wiege umso schwerer, als den Betrieben auch die erforderlichen Grundlagen fehlten, um zu entscheiden, ob sie eine Verfügung anfechten wollten. Ihnen bliebe letztlich nur die Wahl, auf die Richtigkeit der erlassenen Verfügung zu vertrauen oder vorsorglich Einsprache zu erheben. Dies widerspreche aber den Grundsätzen eines effektiven und effizienten Rechtsschutzes. Eine Heilung des angefochtenen Einspracheentscheides ist demnach vorliegend nicht möglich.</w:t>
      </w:r>
    </w:p>
    <w:p>
      <w:r>
        <w:rPr>
          <w:b/>
        </w:rPr>
        <w:t>E. 7.1</w:t>
      </w:r>
    </w:p>
    <w:p>
      <w:r>
        <w:t>Die Vorinstanz macht - erst in der Vernehmlassung - nebst dem negativen Schadenverlauf sinngemäss geltend, die Beschwerdeführerin habe im Jahr 2013 den Antrag falsch ausgefüllt. Deshalb sei die Beschwerdeführerin bereits damals zu Unrecht in die Klasse 61 (Spitäler) und nicht in die Klasse 64 (Alters- und Pflegeheime) eingereiht worden.</w:t>
      </w:r>
    </w:p>
    <w:p>
      <w:r>
        <w:rPr>
          <w:b/>
        </w:rPr>
        <w:t>E. 7.2</w:t>
      </w:r>
    </w:p>
    <w:p>
      <w:r>
        <w:t>Das Gericht prüft nicht, ob vertragliche Bestimmungen verletzt werden, so vorliegend die Frage des Kündigungsrechts und die Auslegung von vertraglichen Bestimmungen. Dies gilt auch für die Frage, ob eine absichtlich falsche Antragsstellung vorliegt oder nicht. Es prüft lediglich, ob eine Neueinreihung rechtmässig und tarifgemäss erfolgt (zur Abgrenzung vgl. vorne E. 1.3). Dabei prüft es aber auch, ob die Vorinstanz den Grundsatz von Treu und Glauben (Art. 9 BV) eingehalten hat (vgl. vorne E. 3.6).</w:t>
      </w:r>
    </w:p>
    <w:p>
      <w:r>
        <w:rPr>
          <w:b/>
        </w:rPr>
        <w:t>E. 7.3</w:t>
      </w:r>
    </w:p>
    <w:p>
      <w:r>
        <w:t>In der Offerte vom 27. November 2013 (act. 6 Beilage 4) wurde in der Rubrik "Art des versicherten Betriebes" der Begriff "Krankenhaus, (nicht psychiatrisches)" eingefügt. Wer die Offerte erstellt hat, kann hier offen bleiben. Die Vorinstanz hat unbestrittenermassen bei der Ausstellung der Police vom 29. November 2013 in diese Rubrik den Begriff "Alters- und Pflegeheim" eingefügt. Die Einreihung der Klasse blieb jedoch dieselbe (61 statt 64 [vgl. act. 6 Beilagen 5]) und die Police wurde so der Beschwerdeführerin ausgestellt.</w:t>
      </w:r>
    </w:p>
    <w:p>
      <w:r>
        <w:rPr>
          <w:b/>
        </w:rPr>
        <w:t>E. 7.4</w:t>
      </w:r>
    </w:p>
    <w:p>
      <w:r>
        <w:t>Da die Vorinstanz die Police mit dem Vermerk "Alters- und Pflegeheim" ausstellte, ging sie offensichtlich selber davon aus, dass es sich bei der Beschwerdeführerin um ein Alters- und Pflegeheim handelt. Hinzu kommt, dass die Beschwerdeführerin im Rahmen von insgesamt 13 Alters- und Pflegeheimen versichert war; im Rahmenvertrag vom 5. Oktober 2010 (act. 6 Beilage 1) wird in Ziffer 1.1 explizit erwähnt, dass es sich um einen Rahmenvertrag für Alters- und Pflegeheime handle. Auch bei Prüfung des Zweckartikels der Statuten hätte festgestellt werden können, dass es sich bei der Beschwerdeführerin um ein Alters- und Pflegeheim handelt.</w:t>
      </w:r>
    </w:p>
    <w:p>
      <w:r>
        <w:rPr>
          <w:b/>
        </w:rPr>
        <w:t>E. 7.5</w:t>
      </w:r>
    </w:p>
    <w:p>
      <w:r>
        <w:t>Da die Vorinstanz unter diesen Umständen ohne weiteres hätte Kenntnis davon nehmen können, dass es sich bei der Beschwerdeführerin um ein Alters- und Pflegeheim handelt, würde sie gegen den Grundsatz von Treu und Glauben (Art. 9 BV) verstossen, daraus Rechte (z. B. eine rückwirkende Höhereinreihung) ableiten zu wollen, dass eine falsche Antragsstellung seitens der Beschwerdeführerin vorgelegen habe. Zudem hätte die Vorinstanz das Argument der falschen Antragsdeklaration bereits im Einspracheentscheid einbringen müssen, falls sie Rechte daraus hätte ableiten wollen; ansonsten liegt auch in diesem Punkt eine Verletzung des rechtlichen Gehörs vor, da sich die Beschwerdeführerin nicht zu diesem Vorwurf hat äussern können. Warum letztlich eine Einreihung in die korrekte Klasse 64 bei Vertragsbeginn am 1. Januar 2014 unterblieben ist, kann offen bleiben. Ebenfalls offen bleiben kann bei diesem Ergebnis, ob die Vorinstanz den Grundsatz der Rechtsgleichheit verletzt hat, indem sie andere Alters- und Pflegeheime, welche ebenfalls von der Kündigung des Rahmenvertrages betroffen waren, in andere Stufen/Unterklassen eingereiht hat, wie dies die Beschwerdeführerin rügt.</w:t>
      </w:r>
    </w:p>
    <w:p>
      <w:r>
        <w:rPr>
          <w:b/>
        </w:rPr>
        <w:t>E. 8.1</w:t>
      </w:r>
    </w:p>
    <w:p>
      <w:r>
        <w:t>Unter diesen Umständen ist der angefochtene Entscheid aufzuheben und die Angelegenheit an die Vorinstanz zurückzuweisen, damit diese der Beschwerdeführerin die Tarifregeln und die massgebenden Elemente des Sachverhalts zugänglich mache, sie sich dazu äussern lasse und anschliessend neu verfüge. Damit kann offen bleiben, ob das Kündigungsrecht gesetzeskonform verweigert worden sei.</w:t>
      </w:r>
    </w:p>
    <w:p>
      <w:r>
        <w:rPr>
          <w:b/>
        </w:rPr>
        <w:t>E. 8.2</w:t>
      </w:r>
    </w:p>
    <w:p>
      <w:r>
        <w:t>Auf Anträge im Zusammenhang mit der konkreten Festsetzung der Prämie und im Zusammenhang mit Vertragsverletzungen ist mangels Zuständigkeit nicht einzutreten (vgl. vorne E. 1.3).</w:t>
      </w:r>
    </w:p>
    <w:p>
      <w:r>
        <w:rPr>
          <w:b/>
        </w:rPr>
        <w:t>E. 9.1</w:t>
      </w:r>
    </w:p>
    <w:p>
      <w:r>
        <w:t>Zu befinden bleibt über die Verfahrenskosten und eine allfällige Parteientschädigung.</w:t>
      </w:r>
    </w:p>
    <w:p>
      <w:r>
        <w:rPr>
          <w:b/>
        </w:rPr>
        <w:t>E. 9.2</w:t>
      </w:r>
    </w:p>
    <w:p>
      <w:r>
        <w:t>Das Bundesverwaltungsgericht auferlegt gemäss Art. 63 Abs. 1 VwVG die Verfahrenskosten in der Regel der unterliegenden Partei. Eine Rückweisung gilt praxisgemäss als Obsiegen der beschwerdeführenden Partei (BGE 132 V 215 E. 6), sodass der Beschwerdeführerin keine Kosten aufzuerlegen sind. Der Vorinstanz werden ebenfalls keine Verfahrenskosten auferlegt (Art. 63 Abs. 2 VwVG). Der Beschwerdeführerin ist der bezahlte Kostenvorschuss von Fr. 2'000.- nach Eintritt der Rechtskraft des vorliegenden Urteils auf ein von ihr zu nennendes Konto zurückzuerstatten.</w:t>
      </w:r>
    </w:p>
    <w:p>
      <w:r>
        <w:rPr>
          <w:b/>
        </w:rPr>
        <w:t>E. 9.3</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Die eingereichte - im Vergleich zum "Pilot"-Fall (vgl. Urteil C-3485/2017 vom 12. April 2018) reduzierte - Kostennote beschreibt einen Aufwand von 13,08 Stunden à Fr. 300.- (Fr. 3'924.-), was unter Berücksichtigung der einzelnen Leistungen gemäss Auflistung und angesichts der Bedeutung und Schwierigkeit der Streitsache als angemessen erscheint. Zudem werden Auslagen von 3% des Honorars geltend gemacht. Da nur die tatsächlichen Kosten als Spesen vergütet werden (Art. 11 VGKE), ist eine Auslagenentschädigung in Prozenten unzulässig. Obwohl diesbezüglich detaillierte Angaben fehlen (vgl. Art. 14 Abs. 1 VGKE), scheint indes vorliegend in Anbetracht des umfangreichen Dossiers eine Aufwandentschädigung in der Höhe der geltend gemachten Fr. 117.70 als angemessen. Somit wird die Parteientschädigung auf Fr. 4'041.70 festgesetzt.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