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C-346/2010 vom 21. Dezember 2012</w:t>
      </w:r>
    </w:p>
    <w:p>
      <w:r>
        <w:t>Bundesverwaltungsgericht, 2012-12-21, DE</w:t>
      </w:r>
    </w:p>
    <w:p>
      <w:r>
        <w:rPr>
          <w:b/>
        </w:rPr>
        <w:t xml:space="preserve">Quelle: </w:t>
      </w:r>
      <w:r>
        <w:t>https://mcp.opencaselaw.ch/entscheid/bvger_C-346_2010</w:t>
      </w:r>
    </w:p>
    <w:p>
      <w:r>
        <w:t>FR: TAF C-346/2010 du 21 décembre 2012</w:t>
      </w:r>
    </w:p>
    <w:p>
      <w:r>
        <w:t>IT: TAF C-346/2010 del 21 dicembre 2012</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betreffend Anerkennung der Staatenlosigkeit.</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als Verfügungsadressat gemäss Art. 48 Abs. 1 VwVG zur Beschwerde berechtigt. In diesem Umfang ist auf die im Übrigen frist- und formgerecht eingereichte Beschwerde einzutreten (Art. 50 und Art. 52 VwVG). Soweit er den Einbezug seiner Töchter in die Anerkennung der Staatenlosigkeit beantragt, kann auf die Beschwerde jedoch nicht eingetreten werden, da diese Frage nicht Gegenstand des vorinstanzlichen Verfahrens war. Überdies sind ihnen inzwischen die beantragten türkischen Reisepässe ausgestellt worden, so dass der Antrag ohnehin obsolet wäre.</w:t>
      </w:r>
    </w:p>
    <w:p>
      <w:r>
        <w:rPr>
          <w:b/>
        </w:rPr>
        <w:t>E. 2</w:t>
      </w:r>
    </w:p>
    <w:p>
      <w:r>
        <w:t>Mit Beschwerde an das Bundesverwaltungsgericht kann die Verletzung von Bundesrecht, zu dem auch das Staatsvertragsrecht gezählt wird,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Bundesverwaltungsgerichts A 2682/2007 vom 7. Oktober 2010 E. 1.2. und E. 1.3).</w:t>
      </w:r>
    </w:p>
    <w:p>
      <w:r>
        <w:rPr>
          <w:b/>
        </w:rPr>
        <w:t>E. 3</w:t>
      </w:r>
    </w:p>
    <w:p>
      <w:r>
        <w:t>Art. 1 Ziff. 1 des Übereinkommens vom 28. September 1954 über die Rechtsstellung der Staatenlosen (nachfolgend: Staatenlosenübereinkommen, SR.0.142.40) hält fest, dass als staatenlos eine Person gilt, die kein Staat auf Grund seiner Gesetzgebung ("under the operation of its law", "par application de sa législation") als seinen Angehörigen betrachte.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Diss. Bern 1977, S. 1 ff. mit Hinweisen; BGE 115 V 4 E. 2b; Urteil des Bundesverwaltungsgerichts C 7134/2010 vom 9. Juni 2011 E. 3.1. mit Hinweisen). Die Rechtsprechung des Bundesgerichts hält hierzu präzisierend fest, dass jemand nur dann als staatenlos betrachtet werden kann, wenn er ohne eigenes Zutun die Staatsangehörigkeit verloren hat und diese nicht (wieder )erlangen kann. Wer seine Staatsangehörigkeit freiwillig aufgibt oder es ohne triftigen Grund unterlässt, sie zu erwerben oder wieder zu erwerben, kann sich daher nicht auf die Rechte aus dem Staatenlosenübereinkommen berufen (vgl. Urteil des Bundesgerichts 2C_36/2012 vom 10. Mai 2012 E. 3.1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Bundesgerichts 2C_763/2008 vom 26. März 2008 E. 3.2 mit Hinweisen).</w:t>
      </w:r>
    </w:p>
    <w:p>
      <w:r>
        <w:rPr>
          <w:b/>
        </w:rPr>
        <w:t>E. 4</w:t>
      </w:r>
    </w:p>
    <w:p>
      <w:r>
        <w:t>Vorliegend ist unbestritten, dass der Beschwerdeführer aufgrund der Ausbürgerung zur Zeit immer noch de iure staatenlos ist. Auch stellt der Beschwerdeführer nicht in Frage, dass die Wiedererlangung der türkischen Staatsangehörigkeit grundsätzlich möglich ist. In der Beschwerdeschrift wird jedoch geltend gemacht, er habe sich mehrmals (im Sommer 2009, am 5. Juni 2009, August 2009, 22. Dezember 2009) schriftlich mit den türkischen Behörden in Verbindung gesetzt, jedoch keine Antwort erhalten.</w:t>
      </w:r>
    </w:p>
    <w:p>
      <w:r>
        <w:rPr>
          <w:b/>
        </w:rPr>
        <w:t>E. 5</w:t>
      </w:r>
    </w:p>
    <w:p>
      <w:r>
        <w:t>Zu klären bleibt somit lediglich, ob der Beschwerdeführer mit diesen Versuchen, die türkische Staatsangehörigkeit wiederzuerlangen, alles ihm Zumutbare unternommen und die Türkei ihm aus unzureichenden Gründen die Wiedereinbürgerung verwehrt hat. Die Anforderungen an das Zumutbare sind angesichts des oben zu Sinn und Zweck des Abkommens Ausgeführten hoch anzusetzen. Es müssen alle Schritte, die nach der nationalen Rechtslage zur Wiedererlangung notwendig sind und die als zumutbar angesehen werden können, unternommen worden sein (vgl. in diesem Sinne die Urteile des Bundesgerichts 2C_763/2008 vom 26. März 2009 E. 3.4 und 2C_1/2008 vom 28. Februar 2008 E. 4.2).</w:t>
      </w:r>
    </w:p>
    <w:p>
      <w:r>
        <w:rPr>
          <w:b/>
        </w:rPr>
        <w:t>E. 5.1</w:t>
      </w:r>
    </w:p>
    <w:p>
      <w:r>
        <w:t>Im Falle eines aufgrund seiner Weigerung, den von ihm verlangten Militärdienst in der türkischen Armee zu leisten, ausgebürgerten (früheren) türkischen Staatsangehörigen, wird gemäss der entsprechenden türkischen Gesetzgebung zur Wiedereinbürgerung Folgendes verlangt: Die Person muss den Antrag auf Wiedereinbürgerung stellen und sich gleichzeitig bereit erklären, die Angelegenheit des noch nicht geleisteten Militärdienstes mit den türkischen Behörden zu regeln bzw. den nicht geleistete Militärdienst doch noch zu absolvieren (vgl. Urteil des Bundesverwaltungsgerichts C 5327/2007 vom 4. August 2009 E. 4).</w:t>
      </w:r>
    </w:p>
    <w:p>
      <w:r>
        <w:rPr>
          <w:b/>
        </w:rPr>
        <w:t>E. 5.2</w:t>
      </w:r>
    </w:p>
    <w:p>
      <w:r>
        <w:t>Die vom Beschwerdeführer unternommenen Schritte können nicht als genügend angesehen werden, um ihn als staatenlos anzuerkennen. Zwar werden in der Beschwerdeschrift vier Kontakte des Beschwerdeführers bzw. seines früheren Rechtsvertreters mit türkischen Behörden geltend gemacht. Von diesen können jedoch nur zwei als nachgewiesen angesehen werden, da entsprechende Einschreibebelege der Post vorliegen. Der Beschwerdeführer macht in der Beschwerdeschrift geltend, es sei davon auszugehen, die Türkei habe kein Interesse an ihm, da er auf keine seiner Anfragen eine Antwort erhalten habe. Aus der Tatsache, dass bis zum Einreichen der Beschwerde am 18. Januar 2010 weder vom türkischen Generalkonsulat in Zürich (Schreiben vom 5. Juni 2009) noch vom türkischen Innenministerium (Schreiben vom 22. Dezember 2009) Antworten eingetroffen sind, kann allerdings nicht abgeleitet werden, der türkische Staat verweigere dem Beschwerdeführer die Wiedereinbürgerung grundsätzlich. Dazu war insbesondere in Bezug auf das Schreiben ans Innenministerium zu wenig Zeit vergangen. Allerdings geht auch aus weiteren Eingaben im vorliegenden Verfahren (Anfragen vom 28. Januar 2011 und 9. Februar 2012 zum voraussichtlichen Zeitpunkt des Urteils) nicht hervor, dass die türkischen Behörden geantwortet hätten. Dies genügt jedoch noch nicht als Nachweis. Vielmehr ist dem Beschwerdeführer vorzuwerfen, dass er offenbar keine weiteren Bemühungen unternommen und nicht bei den türkischen Behörden nachgehakt hat. Letzteres wäre aber notwendig, um davon ausgehen zu können, die türkischen Behörden würden ihm - in Abweichung von der klaren nationalen Gesetzgebung - die Wiedereinbürgerung kategorisch verweigern (vgl. Urteil des Bundesgerichts 2C_621/2011 vom 6. Dezember 2011 E. 3.3, wo die Bemühungen ebenfalls als ungenügend angesehen wurden). Ohne den Nachweis weiterer und intensiver Bemühungen seitens des Beschwerdeführers muss davon ausgegangen werden, der türkische Staat wäre bereit, seinen eigenen Gesetzen nachzukommen und den Beschwerdeführer wieder einzubürgern, sofern dieser bereit ist, die entsprechenden Voraussetzungen zu erfüllen. Inwiefern solche Bemühungen nicht zumutbar sein sollen, wie der Beschwerdeführer mit Hinweis auf einen Entscheid der Schweizerischen Asylrekurskommission (ARK, heute Bundesverwaltungsgericht) vom 20. November 2003 (EMARK 2004/2) geltend macht, ist nicht nachvollziehbar. Allein die Tatsache, dass der Beschwerdeführer wegen Unzumutbarkeit des Wegweisungsvollzugs vorläufig aufgenommen wurde, macht die Kontaktaufnahme mit den heimatlichen Behörden nicht unzumutbar (vgl. in Bezug auf die Erlangung von heimatlichen Reisedokumenten die in Art. 10 Abs. 1 Bst. a und Abs. 3 der Verordnung vom 14. November 2012 über die Ausstellung von Reisedokumenten für ausländische Personen [RDV, SR 143.5] genannten Personengruppen).</w:t>
      </w:r>
    </w:p>
    <w:p>
      <w:r>
        <w:rPr>
          <w:b/>
        </w:rPr>
        <w:t>E. 5.3</w:t>
      </w:r>
    </w:p>
    <w:p>
      <w:r>
        <w:t>Aus dem Umstand, dass ein Verwandter (Cousin oder Bruder, die Angaben der Rechtsvertreterin sind widersprüchlich) offenbar in Deutschland als staatenlos anerkannt worden ist, kann der Beschwerdeführer für sich nichts ableiten, da die Situation und Gegebenheiten bei jeder Person individuell zu prüfen sind.</w:t>
      </w:r>
    </w:p>
    <w:p>
      <w:r>
        <w:rPr>
          <w:b/>
        </w:rPr>
        <w:t>E. 5.4</w:t>
      </w:r>
    </w:p>
    <w:p>
      <w:r>
        <w:t>Zusammenfassend ist davon auszugehen, dass der Beschwerdeführer nicht alles Zumutbare unternommen hat, um die türkische Staatsangehörigkeit wiederzuerlangen. Die Vorinstanz hat somit zu Recht das Gesuch um Feststellung der Staatenlosigkeit abgewiesen und die Ausstellung eines entsprechenden Reisedokumentes abgelehnt.</w:t>
      </w:r>
    </w:p>
    <w:p>
      <w:r>
        <w:rPr>
          <w:b/>
        </w:rPr>
        <w:t>E. 6</w:t>
      </w:r>
    </w:p>
    <w:p>
      <w:r>
        <w:t>Die angefochtene Verfügung ist damit im Ergebnis nicht zu beanstanden und als rechtmässig im Sinne von Art. 49 VwVG zu bestätigen. Die Beschwerde ist demzufolge abzuweisen, soweit darauf einzutreten ist.</w:t>
      </w:r>
    </w:p>
    <w:p>
      <w:r>
        <w:rPr>
          <w:b/>
        </w:rPr>
        <w:t>E. 7</w:t>
      </w:r>
    </w:p>
    <w:p>
      <w:r>
        <w:t>Bei diesem Ausgang des Verfahrens sind die Kosten dem Beschwerdeführer aufzuerlegen (Art. 63 Abs. 1 VwVG,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