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C-3460/2012 vom 30. April 2014</w:t>
      </w:r>
    </w:p>
    <w:p>
      <w:r>
        <w:t>Bundesverwaltungsgericht, 2014-04-30, FR</w:t>
      </w:r>
    </w:p>
    <w:p>
      <w:r>
        <w:rPr>
          <w:b/>
        </w:rPr>
        <w:t xml:space="preserve">Quelle: </w:t>
      </w:r>
      <w:r>
        <w:t>https://mcp.opencaselaw.ch/entscheid/bvger_C-3460_2012</w:t>
      </w:r>
    </w:p>
    <w:p>
      <w:r>
        <w:t>FR: TAF C-3460/2012 du 30 avril 2014</w:t>
      </w:r>
    </w:p>
    <w:p>
      <w:r>
        <w:t>IT: TAF C-3460/2012 del 30 aprile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régnant au moment où elle statue (cf.ATAF 2012/21 consid. 5.1; 2011/43 consid. 6.1; 2011/1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art. 85 al. 3 OASA). L'ODM peut re­fuser son approbation ou limiter la portée de la décision cantonale(art. 86 OASA). En l'espèce, la compétence décisionnelle appartient à la Confédération en vertu des règles de procédure précitées (cf. également ch. 1.3.1.1 et 1.3.1.4 let. e des Directives et circulaires de l'ODM (version remaniée et unifiée du 25 octobre 2013), &lt; https://www.bfm.admin.ch/Documentation/ Bases légales/Directives et circulaires/I. Domaine des étrangers &gt;, consulté en mars 2014). Il s'ensuit, en l'état, que ni le TAF, ni l'ODM ne sont liés par la décision de l'OCP du 20 avril 2011 de renouveler l'autorisation de séjour d'A._______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En l'espèce, la recourante, qui est divorcée depuis le mois de mars 2010 et n'a pas vécu avec son époux pendant cinq ans, ne peut pas dé­duire un droit à une autorisation de séjour ou d'établissement de l'art. 42 al. 1 et 3 LEtr, ni de l'art. 49 LEtr.</w:t>
      </w:r>
    </w:p>
    <w:p>
      <w:r>
        <w:rPr>
          <w:b/>
        </w:rPr>
        <w:t>E. 4.2.2.1</w:t>
      </w:r>
    </w:p>
    <w:p>
      <w:r>
        <w:t>Du moment qu'elle est divorcée de son époux, la recourante ne peut pas non plus, par rapport à ce dernier, déduire un droit de séjour du droit au respect de la vie familiale garanti par l'art. 8 par. 1 de la Conven­tion du 4 novembre 1950 de sauvegarde des droits de l'homme et des li­bertés fondamentales (CEDH, RS 0.101), ni du reste de l'art. 13 al. 1 de la Constitution fédérale de la Confédération suisse du 18 avril 1999 (Cst., RS 101) qui ne garantit pas une protection plus étendue (cf. notamment ATF 129 II 215 consid. 4.2; 126 II 377 consid. 7),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w:t>
      </w:r>
    </w:p>
    <w:p>
      <w:r>
        <w:rPr>
          <w:b/>
        </w:rPr>
        <w:t>E. 4.2.2.2</w:t>
      </w:r>
    </w:p>
    <w:p>
      <w:r>
        <w:t>Dans ses écritures du 9 décembre 2013 (cf. ch. 4.1, p. 5), A._______ indique vivre en concubinage avec un tiers, tout en précisant ne pas vouloir, pour des raisons strictement personnelles, communiquer de plus amples renseignements à ce sujet. Compte tenu de ces criconstances, c'est dès lors à juste titre qu'elle n'invoque aucun droit découlant de cette relation (cf. notamment ATF 137 I 351 consid. 3.2; arrêts du TF 2C_1035/2012 du 21 décembre 2012 consid. 5.1 et 2C_702/2011 du 23 février 2012 consid. 3.1).</w:t>
      </w:r>
    </w:p>
    <w:p>
      <w:r>
        <w:rPr>
          <w:b/>
        </w:rPr>
        <w:t>E. 5</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[cf. notamment arrêts du TF 2C_1134/2013 du 20 décem­bre 2013 consid. 3.1; 2C_262/2011 du 13 avril 2011 consid. 2.2).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[FF 2002 3469, ch. 1.3.7.6 p. 3512; cf. égalementATF 137 II 1 consid. 3.1). L'art. 50 al. 1 let. a LEtr confère à l'étranger, dont l'union conjugale a duré au moins trois ans et dont l'intégration en Suisse est réussie, un droit au renouvellement de son autorisation de séjour, les cas de rigueur del'art. 50 al. 1 let. b LEtr étant plus spécialement prévus pour les situations dans lesquelles les conditions de l'art. 50 al. 1 let. a LEtr ne sont pas réalisées (cf. notamment ATF 138 II 393 consid. 3.1; 137 II 1 consid. 4.1; 137 II 345 consid. 3.2.1). Les deux conditions posées par l'art. 50 al. 1let. a LEtr sont cumulatives selon la jurisprudence (cf. notammentATF 136 II 113 consid. 3.3.3; arrêt du TF 2C_418/2013 du 15 août 2013 consid. 4.1).</w:t>
      </w:r>
    </w:p>
    <w:p>
      <w:r>
        <w:rPr>
          <w:b/>
        </w:rPr>
        <w:t>E. 5.1.1</w:t>
      </w:r>
    </w:p>
    <w:p>
      <w:r>
        <w:t>L'existence d'une véritable union conjugale au sens de cette der­nière disposition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229 consid. 2; 136 II 113 consid. 3.3.5), à savoir sur la durée extérieurement perceptible du do­micile matrimonial commun (cf. notamment ATF 137 II 345 consid. 3.1.2).</w:t>
      </w:r>
    </w:p>
    <w:p>
      <w:r>
        <w:rPr>
          <w:b/>
        </w:rPr>
        <w:t>E. 5.1.2</w:t>
      </w:r>
    </w:p>
    <w:p>
      <w:r>
        <w:t>En l'occurrence, l'autorité intimée a relevé, dans la motivation de la décision querellée, que la durée exacte de l'union conjugale ne pouvait être établie en raison des indications contradictoires que comportaient les pièces du dossier sur ce point. Dès lors que les autres conditions d'appli­cation de l'art. 50 al. 1 let. a et b LEtr ne lui paraissaient pas être rem­plies, cette autorité a toutefois estimé que la question de savoir si le couple comptabilisait trois ans de vie commune au sens de l'art. 50 al. 1 let. a LEtr pouvait être laissée ouverte. Dans le cadre de sa réponse au recours du 22 août 2012, l'ODM a par contre retenu, pour les mêmes mo­tifs, que cette question n'était pas litigieuse. Comme l'autorité inférieure en a fait état dans la décision querellée, tant les indications contenues dans les actes de la procédure de divorce que les déclarations de chacun des conjoints formulées au cours de la procé­dure de droit des étrangers se révèlent être contradictoires en ce qui concerne la date à laquelle ces derniers ont cessé la vie commune. Alors que la requête commune en divorce déposée par la recourante et son époux le 14 décembre 2009 auprès du Tribunal genevois de première instance mentionne que leur séparation remonte à plus d'une année, l'autorité judiciaire cantonale précitée relève, dans le jugement de divorce du 18 mars 2010 (cf. ch. 4 des considérants en fait), que dite séparation est intervenue en 2009, sans préciser exactement la date à laquelle le couple a cessé la vie commune. Invitée par l'OCP à communiquer la date exacte à laquelle a eu lieu la séparation d'avec son conjoint, A._______ a tout d'abord affirmé que dite séparation n'avait été effective que dans le courant du mois de juillet 2010 (cf. lettre du 30 novembre 2010), puis a rectifié ses dires en indiquant que dite séparation ne s'était pas produite avant le mois d'octobre 2009 (cf. lettre du 12 janvier 2011). Revenant sur ses propos, l'intéressée a ensuite successivement déclaré à l'attention de l'ODM qu'elle avait vécu maritalement avec son conjoint jusqu'au 1er janvier 2010 (cf. déterminations écrites du 24 août 2011) et jusqu'au 18 mars 2010 (cf. p. 3, ad ch. 1 des motifs, du mémoire de re­cours du 28 juin 2012). De son côté, l'époux de l'intéressée a fait savoir à l'OCP que leur séparation datait du mois d'octobre 2009 (cf. télécopie da­tée du 14 janvier 2011 et expédiée le 20 janvier 2011). Il va sans dire dans ces circonstances qu'en l'absence de tout autre élément d'informa­tion décisif figurant au dossier, les indications divergentes ressortant tant des actes de la procédure de divorce que des assertions postérieures de la recourante et de son époux quant à la date de leur séparation effective ne permettent objectivement pas de retenir l'une des dates mentionnées en ce sens plutôt qu'une autre. Même si l'on retient la date la moins favo­rable que comportent les déclarations des époux (octobre 2009), il appa­raît que ces derniers ont fait ménage commun pendant plus de trois ans (mariage célébré en Suisse le 11 septembre 2006). Dès lors, il convient de considérer que la condition temporelle de l'art. 50 al. 1 let. a LEtr est remplie dans le cas d'espèce.</w:t>
      </w:r>
    </w:p>
    <w:p>
      <w:r>
        <w:rPr>
          <w:b/>
        </w:rPr>
        <w:t>E. 5.2</w:t>
      </w:r>
    </w:p>
    <w:p>
      <w:r>
        <w:t>Outre la vie commune en Suisse pendant au moins trois ans, l'appli­cation de l'art. 50 al. 1 let. a LEtr suppose encore que l'intégration de la recourante soit réussie.</w:t>
      </w:r>
    </w:p>
    <w:p>
      <w:r>
        <w:rPr>
          <w:b/>
        </w:rPr>
        <w:t>E. 5.2.1</w:t>
      </w:r>
    </w:p>
    <w:p>
      <w:r>
        <w:t>Le principe de l'intégration inscrit à l'art. 50 al. 1 let. a LEtr veut que les étrangers, dont le séjour est légal et durable, participent à la vie éco­nomique, sociale et culturelle de la Suisse (art. 4 al. 2 LEtr [cf. notamment ATF 134 II 1 consid. 4.1; arrêts du TF 2C_777/2013 du 17 février 2014 consid. 3.2; 2C_719/2013 du 10 décembre 2013 consid. 2.2; 2C_286/2013 du 21 mai 2013 consid. 2.2]). En vertu de l'art. 77al. 4 OASA, un étranger s'est bien intégré, au sens de l'art. 50 al. 1let.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domicile(let. b), par la connaissance du mode de vie suisse (let. c) et par la vo­lonté de participer à la vie économique et d'acquérir une formation(let. d). Le TF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TF 2C_777/2013 consid. 3.2; 2C_719/2013 consid. 2.2; 2C_300/2013 du 21 juin 2013 consid. 4.2 et ju­risprudence citée). Constituent, d'après le chiffre 2.2 de la directive n° IV (intégration) de l'ODM du 1er janvier 2008 (cf. Directives et circulaires de l'ODM, en ligne sur son site internet : &lt; https://www.bfm.admin.ch/Documentation/Bases légales/Directives et circulaires/IV. Intégration &gt;, consulté en mars 2014), des indicateurs de la volonté de participer à la vie économique, no­tamment un contrat de travail non résilié, la preuve des efforts fournis pour trouver un emploi ou des postes de travail temporaires (cf., pour ce qui est du renvoi à cette directive, notamment les arrêts du TF 2C_300/2013 consid. 4.2, 2C_286/2013 consid. 2.3; 2C_546/2010 du 30 novembre 2010 consid. 5.2.3). Un étranger qui obtient, même au bénéfice d'un emploi à temps partiel, par exemple en tant que nettoyeur, un revenu mensuel de l'ordre de 3'000 francs qui lui permet de subvenir à ses besoins jouit d'une situation professionnelle stable. Il importe peu que l'indépendance financière ré­sulte d'un emploi peu qualifié. L'intégration réussie au sens de l'art. 50al.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TF 2C_777/2013 consid. 3.2; 2C_749/2011 du 20 janvier 2012 consid. 3.3; 2C_427/2011 du 26 octobre 2011 consid. 5.3). Des périodes d'inactivité de durée raisonnable n'impli­quent pas forcément que l'étranger n'est pas intégré professionnellement (cf. notamment arrêts du TF 2C_983/2011 du 13 juin 2012 consid. 3.2; 2C_749/2011 consid. 3.3; 2C_427/2011 consid. 5.3, dans le cadre duquel les critères de l'intégration ont été retenus nonobstant une période sans emploi de onze mois en rapport avec une activité lucrative continue de trois ans). Il n'y a en revanche pas d'intégration réussie lorsque l'étranger n'exerce pas d'activité lucrative qui lui permette de couvrir ses besoins et qu'il dépend des prestations sociales pendant une période relativement longue (cf. notamment arrêts du TF 2C_777/2013 consid. 3.2; 2C_930/2012 du 10 janvier 2013 consid. 3.1).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2C_426/2011 du 30 novembre 2011 consid. 3.5; 2C_427/2011 consid. 5.3). Toutefois, une vie associative cantonnée à des relations avec des ressortissants de son propre Etat d'origine constitue plutôt un indice plaidant en défaveur d'une intégration réussie (cf. no­tamment arrêts du TF 2C_930/2012 consid. 3.1; 2C_546/2010consid. 5.2.4).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TF 2C_286/2013 consid. 2.4, 2C_930/2012 consid. 3.1 et jurisprudence ci­tée).</w:t>
      </w:r>
    </w:p>
    <w:p>
      <w:r>
        <w:rPr>
          <w:b/>
        </w:rPr>
        <w:t>E. 5.2.2</w:t>
      </w:r>
    </w:p>
    <w:p>
      <w:r>
        <w:t>En l'espèce, le parcours professionnel de la recourante paraît à pre­mière vue traduire un manque de volonté d'intégration économique. Ainsi l'intéressée n'a-t-elle, pendant une période substantielle de son séjour en Suisse (à savoir entre son arrivée en ce pays au cours du mois d'août 2006 et le 1er avril 2011), pas exercé d'activité lucrative et, pour ce qui est de la suite de sa présence en ce pays, occupé, pour l'essentiel, un emploi à temps partiel ou effectué des travaux temporaires pour divers employeurs. Dans la mesure où, pendant la durée de son mariage avec son époux suisse (à savoir jusqu'au mois de mars 2010, date du pro­noncé du jugement de divorce), les revenus de ce dernier lui permettaient de couvrir également ses besoins et où son absence d'emploi résultait, selon ses explications (cf. prise de position formulée le 24 août 2011 à l'intention de l'ODM), du fait que ledit époux s'opposait à ce qu'elle tra­vaillât, l'on ne saurait parler, en ce qui concerne la période couvrant la du­rée de son mariage, d'une absence de volonté de sa part de prendre part à la vie économique. Pour la suite de sa présence en Suisse, il y a lieu de constater, au vu des renseignements qu'A._______ a communiqués aux autorités fédérales, que cette dernière, qui a entamé une formation en musicologie au mois de septembre 2010, a pris, à compter du 1er avril 2011 et à mi-temps, un emploi de serveuse dans un restaurant genevois lui procurant un gain mensuel net de 1'417 fr. 90 (cf. attestation de travail de cet établissement produite à l'appui du recours et fiches de salaire y relatives jointes par l'intéressée à ses écritures du 9 décembre 2013). Après signature d'un nouveau contrat de travail avec le même employeur (contrat de durée indéterminée), la recourante a poursuivi, à partir du 1er juillet 2012, son activité de serveuse pour un taux d'occupation de 75 % et un salaire net de 2'325 fr. 07 (cf. contrat de travail du 1er juillet 2012 produit à l'appui du recours et fiches de salaires y relatives jointes aux écritures du 9 décembre 2013). La dernière fiche de salaire portant sur l'exercice de cette activité et versée au dossier par l'intéressée date du mois de décembre 2012. Invitée à indiquer au TAF la suite de son par­cours professionnel, A._______ a fait état, pour l'année 2013, d'occupations temporaires accomplies au profit de la société de services pour appareils électroniques en mains de son actuel compagnon et pour le compte d'autres employeurs (cf. p. 2 des écritures de l'intéressée du 31 mars 2014). L'activité professionnelle exercée jusque-là par la recourante ne saurait être donc considérée comme stable, dans la mesure où cette dernière a été, pendant un laps de temps significatif, sans travail et où l'emploi qu'elle a pris était exercé à temps partiel, ce qui l'a conduite du reste à devoir être temporairement soutenue sur le plan financier par l'un de ses frères domicilié également à Genève (cf. lettre adressée par le prénommé à l'OCP le 24 février 2011 et déclaration de garantie de la même personne du 21 juin 2012 jointe au recours). Toutefois, il s'avère que l'intéressée a commencé au mois de janvier 2014 une activité profes­sionnelle à temps complet au sein d'une fiduciaire genevoise. A en juger par les fiches de salaires qu'A._______ a remises au TAF lors de ses écritures du 31 mars 2014, ses revenus sont depuis lors stables et d'un montant (3'936 fr. 50 nets par mois) qui est supposé lui permettre de sub­venir à ses besoins. Avec ce nouvel emploi, l'on peut considérer que la recourante, dont il convient de souligner qu'elle n'a jamais perçu d'aide sociale de la part de la collectivité publique et qu'elle a donné entièrement satisfaction, selon le certificat de travail établi par son précédent employeur, tant pour son dévouement au travail que pour sa correction ou pour son assiduité, jouit désormais d'une situation professionnelle stable. En outre, l'autonomie financière de l'intéressée peut être tenue pour acquise avec la prise de ce nouvel emploi (cf., en ce sens, no­tamment arrêt du TF 2C_426/2011 consid. 3.3).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5.2.1 supra et jurisprudence citée).</w:t>
      </w:r>
    </w:p>
    <w:p>
      <w:r>
        <w:rPr>
          <w:b/>
        </w:rPr>
        <w:t>E. 5.3</w:t>
      </w:r>
    </w:p>
    <w:p>
      <w:r>
        <w:t>D'autre part, il ressort des pièces versées au dossier que la recou­rante n'a jamais perçu des allocations de chômage, ni, comme évoqué plus haut, été aidée financièrement par l'Hospice Général du canton de Genève. A l'exception de deux poursuites pour lesquelles chacune des dettes a ensuite été remboursée, A._______ n'a pas fait l'objet d'autres poursuites, ni donné lieu à des actes de défaut de biens.</w:t>
      </w:r>
    </w:p>
    <w:p>
      <w:r>
        <w:rPr>
          <w:b/>
        </w:rPr>
        <w:t>E. 5.4</w:t>
      </w:r>
    </w:p>
    <w:p>
      <w:r>
        <w:t>De plus, il ne figure au dossier aucun élément laissant apparaître que la recourante aurait contrevenu à l'ordre public suisse. En particulier, l'intéressée n'a fait l'objet d'aucune condamnation pénale, ni de plaintes adressées aux autorités genevoises.</w:t>
      </w:r>
    </w:p>
    <w:p>
      <w:r>
        <w:rPr>
          <w:b/>
        </w:rPr>
        <w:t>E. 5.5</w:t>
      </w:r>
    </w:p>
    <w:p>
      <w:r>
        <w:t>Pour ce qui concerne son intégration sociale, il est vrai qu'A._______ n'a guère produit de preuves tangibles des relations sociales et amicales qu'elle a vraisemblablement nouées depuis qu'elle réside en Suisse, soit depuis environ sept ans et demi. La recourante n'a en parti­culier pas démontré avoir fait partie d'associations ou développé une quelconque vie associative. Cependant, l'intéressée s'est nécessairement créé un cercle de connaissances durant sa présence en Suisse, ne serait-ce qu'à travers ses collègues de travail. Il sied à cet égard d'obser­ver qu'en présence d'un étranger qui est intégré professionnellement en Suisse, qui a toujours été indépendant financièrement, qui s'est comporté correctement et qui maîtrise la langue parlée, il faut, selon la jurispru­dence, des éléments sérieux permettant de nier son intégration. Il est vrai que des attaches en Suisse, notamment la participation à une vie asso­ciative, sont un des critères susceptibles d'être pris en compte dans cette analyse, mais l'absence de telles attaches ne permet pas, à elle seule, d'en conclure que l'étranger ne serait pas intégré (cf. notamment arrêts du TF 2C_749/2011 consid. 3.3; 2C_427/2011 consid. 5.3 et jurispru­dence citée). Il n'est par ailleurs pas contesté que la recourante, qui a travaillé comme serveuse dans un restaurant et est actuellement employée dans une fidu­ciaire, a des connaissances suffisantes de la langue française. C'est le lieu ici de rappeler que, pour autant que l'étranger soit en mesure de communiquer de façon intelligible, le degré de maîtrise de la langue na­tionale que l'on est en droit d'exiger de ce dernier peut varier en fonction de sa situation socioprofessionnelle. Or, la maîtrise de la langue française par l'intéressée lui suffit pour son travail, dès lors que celle-ci exerce une activité professionnelle à Genève depuis le mois d'avril 2011 (cf. no­tamment arrêt du TF 2C_839/2010 du 25 février 2011 consid. 7.1.2), les connaissances acquises dans cette langue étant d'autant plus avérées qu'elle se trouve, dans le cadre de son emploi, en contact avec le public, du moins pour ce qui est de la partie de son activité accomplie dans la restauration. Au vu de ce qui précède et en référence à la jurisprudence développée par le TF en la matière telle que rappelée ci-dessus, le TAF arrive à la conclusion que ni les périodes d'inactivité professionnelle, ni la nature ou le caractère précaire des activités exercées jusqu'à l'obtention du dernier emploi au sein d'une fiduciaire, ni l'absence de preuves formelles d'une forte implication dans son environnement social ne permettent de nier la réussite de l'intégration de la recourante en Suisse. Il appert en effet que l'intéressée dispose d'un poste de travail stable depuis le mois de janvier 2014 lui permettant de s'assumer financièrement, qu'elle n'a jamais solli­cité des prestations de l'aide sociale, qu'elle n'a pas de dettes, qu'elle maîtrise la langue parlée du lieu de son domicile et qu'elle n'a pas contre­venu à l'ordre public. Du moment que la recourante satisfait aux deux conditions d'application de l'art. 50 al. 1 let. a LEtr, le recours doit être admis, la décision attaquée du 31 mai 2012 annulée et la prolongation par les autorités cantonales genevoises de son autorisation de séjour approuvée, étant précisé qu'il est superflu dans ces circonstances d'examiner si les conditions del'art. 50 al. 1 let. b LEtr en lien avec l'art. 50 al. 2 LEtr sont remplies dans le cas d'espèce (cf. notamment arrêt du TF 2C_426/2011 consid. 3.6). Vu le sort réservé à la présente cause, la requête présentée dans le cadre du recours en vue de l'audition de témoins concernant la question de la durée de la vie commune entre A._______ et son ex-époux est devenue sans objet.</w:t>
      </w:r>
    </w:p>
    <w:p>
      <w:r>
        <w:rPr>
          <w:b/>
        </w:rPr>
        <w:t>E. 6</w:t>
      </w:r>
    </w:p>
    <w:p>
      <w:r>
        <w:t>Obtenant gain de cause, la recourante n'a pas à supporter de frais de procédure (cf. art. 63 al. 1 a contrario et al. 3 PA). Aucun frais n'est mis à la charge de l'autorité inférieure déboutée (cf.art.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de la recourante, le TAF estime, au regard des art. 8 FITAF et ss,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