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C-3460/2011 vom 17. September 2013</w:t>
      </w:r>
    </w:p>
    <w:p>
      <w:r>
        <w:t>Bundesverwaltungsgericht, 2013-09-17, DE</w:t>
      </w:r>
    </w:p>
    <w:p>
      <w:r>
        <w:rPr>
          <w:b/>
        </w:rPr>
        <w:t xml:space="preserve">Quelle: </w:t>
      </w:r>
      <w:r>
        <w:t>https://mcp.opencaselaw.ch/entscheid/bvger_C-3460_2011</w:t>
      </w:r>
    </w:p>
    <w:p>
      <w:r>
        <w:t>FR: TAF C-3460/2011 du 17 septembre 2013</w:t>
      </w:r>
    </w:p>
    <w:p>
      <w:r>
        <w:t>IT: TAF C-3460/2011 del 17 settembre 2013</w:t>
      </w:r>
    </w:p>
    <w:p>
      <w:pPr>
        <w:pStyle w:val="Heading2"/>
      </w:pPr>
      <w:r>
        <w:t>Regeste</w:t>
      </w:r>
    </w:p>
    <w:p>
      <w:r>
        <w:t>Zwangsanschluss an die Auffangeinrichtung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 befinden bleibt noch über die Verfahrenskosten und über eine allfällige Parteientschädigung.</w:t>
      </w:r>
    </w:p>
    <w:p>
      <w:r>
        <w:rPr>
          <w:b/>
        </w:rPr>
        <w:t>E. 4.1</w:t>
      </w:r>
    </w:p>
    <w:p>
      <w:r>
        <w:t>Gemäss Art. 63 Abs. 1 VwVG werden die Verfahrenskosten in der Regel der unterliegenden Partei auferlegt. Bei diesem Verfahrensausgang sind den weitestgehend unterliegenden Beschwerdeführenden die Kosten, welche auf Fr. 800.-- festzulegen sind, aufzuerlegen. Der von den Beschwerdeführenden geleistete Kostenvorschuss in der Höhe von Fr. 800.-- ist mit den Verfahrenskosten zu verrechnen. Einer (teilweise) unterliegenden Vorinstanz sind gemäss Art. 63 Abs. 2 VwVG keine Verfahrenskosten aufzuerlegen.</w:t>
      </w:r>
    </w:p>
    <w:p>
      <w:r>
        <w:rPr>
          <w:b/>
        </w:rPr>
        <w:t>E. 4.2</w:t>
      </w:r>
    </w:p>
    <w:p>
      <w:r>
        <w:t>Die Beschwerdeinstanz kann der ganz oder teilweise obsiegenden Partei von Amtes wegen oder auf Begehren eine Entschädigung für ihr erwachsene notwendige und verhältnismässig hohe Kosten zusprechen (Art. 64 Abs. 1 VwVG). Keinen Anspruch auf Parteientschädigung haben Bundesbehörden und, in der Regel, andere Behörden, die als Parteien auftreten (Art. 7 Abs. 3 des Reglements vom 21. Februar 2008 über die Kosten und Entschädigungen vor dem Bundesverwaltungsgericht [VGKE, SR 173.320.2]). Der obsiegenden Vorinstanz ist somit keine Parteientschädigung zuzusprechen (vgl. BGE 126 V 143 E. 4). Die teilweise obsiegenden Beschwerdeführenden waren nicht berufsmässig vertreten und haben auch keine notwendigen und verhältnismässig hohen Kosten geltend gemacht, weshalb ihnen keine Parteientschädigung zuzusprechen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