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C-345/2006 vom 24. April 2008</w:t>
      </w:r>
    </w:p>
    <w:p>
      <w:r>
        <w:t>Bundesverwaltungsgericht, 2008-04-24, FR</w:t>
      </w:r>
    </w:p>
    <w:p>
      <w:r>
        <w:rPr>
          <w:b/>
        </w:rPr>
        <w:t xml:space="preserve">Quelle: </w:t>
      </w:r>
      <w:r>
        <w:t>https://mcp.opencaselaw.ch/entscheid/bvger_C-345_2006</w:t>
      </w:r>
    </w:p>
    <w:p>
      <w:r>
        <w:t>FR: TAF C-345/2006 du 24 avril 2008</w:t>
      </w:r>
    </w:p>
    <w:p>
      <w:r>
        <w:t>IT: TAF C-345/2006 del 24 aprile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d'exception aux mesures de limitation (cf. art. 13 let. f aOLE), prononcées par l'ODM - lequel constitue une unité de l'administration fédérale telle que définie à l'art. 33 let. d LTAF - sont susceptibles de recours au Tribunal administratif fédéral, qui statue définitivement (cf. art. 1 al. 2 LTAF en relation avec l'art. 83 let. c ch. 5 de la loi fédérale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telle que l'aOLE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demeure applicable, conformément à la réglementation transitoire de l'art. 126 al. 1 LEtr. 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Tribunal administratif fédéral est régie par la PA (cf. art. 37 LTAF).</w:t>
      </w:r>
    </w:p>
    <w:p>
      <w:r>
        <w:rPr>
          <w:b/>
        </w:rPr>
        <w:t>E. 1.3</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1.4</w:t>
      </w:r>
    </w:p>
    <w:p>
      <w:r>
        <w:t>A._______, qui est directement touchée par la décision entreprise, a qualité pour recourir (cf. art. 48 PA). Son recours, présenté dans la forme et les délais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ATF 129 II 215 consid. 1.2, publication partielle de l'arrêt du Tribunal fédéral 2A.451/2002 du 28 mars 2003).</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aLSEE, a adopté des dispositions restrictives d'admission tant en ce qui concerne les travailleurs étrangers que les étrangers n'exerçant pas d'activité lucrative (cf. art. 1 aOLE).</w:t>
      </w:r>
    </w:p>
    <w:p>
      <w:r>
        <w:rPr>
          <w:b/>
        </w:rPr>
        <w:t>E. 3.2</w:t>
      </w:r>
    </w:p>
    <w:p>
      <w:r>
        <w:t>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(art. 13 let. f aOLE).</w:t>
      </w:r>
    </w:p>
    <w:p>
      <w:r>
        <w:rPr>
          <w:b/>
        </w:rPr>
        <w:t>E. 3.3</w:t>
      </w:r>
    </w:p>
    <w:p>
      <w:r>
        <w:t>A ce propos, il sied de relever que l'autorité fédérale n'est pas liée par l'appréciation émise par les autorités cantonales, en l'occurrence celle de la Commission cantonale de recours de police des étrangers dans sa décision du 4 avril 2006, s'agissant de l'exemption de la recourante des nombres maximums fixés par le Conseil fédéral.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aOLE,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01.01.2008 ; ATF 119 Ib 33 consid. 3a p. 39, traduit en français dans Journal des Tribunaux [JdT] 1995 I 226 consid. 3a p. 230 ; Peter Kottusch, Das Ermessen der kantonalen Fremdenpolizei und seine Schranken, Schweizerisches Zentralblatt für Staats- und Verwaltungsrecht [ZBl] 91/1990 p. 155, valable mutatis mutandis pour le nouveau droit) et au Tribunal administratif fédéral, en vertu de l'effet dévolutif du recours (cf. art. 54 PA).</w:t>
      </w:r>
    </w:p>
    <w:p>
      <w:r>
        <w:rPr>
          <w:b/>
        </w:rPr>
        <w:t>E. 4</w:t>
      </w:r>
    </w:p>
    <w:p>
      <w:r>
        <w:t>L'exception aux nombres maximums prévue par l'art. 13 let. f aOLE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 Il découle de la formulation de l'art. 13 let. f aOLE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page 589, jurisprudence et doctrine citées).</w:t>
      </w:r>
    </w:p>
    <w:p>
      <w:r>
        <w:rPr>
          <w:b/>
        </w:rPr>
        <w:t>E. 5</w:t>
      </w:r>
    </w:p>
    <w:p>
      <w:r>
        <w:t>L'art. 4 aOLE soustrayait aux nombres maximums fixés par le Conseil fédéral certains étrangers titulaires d'une pièce de légitimation délivrée par le DFAE, dont les membres de missions diplomatiques et permanentes et de postes consulaires, les fonctionnaires d'organisations internationales ayant leur siège en Suisse et, à certaines conditions, les membres de la famille des personnes précitées admis au titre du regroupement familial (cf. art. 4 al. 1 let. a et b et al. 2 aOLE). Or, ainsi qu'il ressort de la disposition précitée, le séjour de ces personnes en Suisse n'est autorisé que pendant la durée de la fonction exercée dans le but défini par le DFAE, lequel ne tient pas compte de la politique restrictive menée par la Suisse en matière de séjour et d'emploi des étrangers (cf. art. 16 LSEE et art. 1 aOLE). Les membres de missions diplomatiques et les fonctionnaires d'organisations internationales au bénéfice d'une carte de légitimation du DFAE ne peuvent donc ignorer que leur présence (et celle de leur famille) en Suisse, directement liée à la fonction qu'ils occupent, revêt un caractère temporaire. Le Tribunal fédéral a ainsi considéré que la durée du séjour qu'ils avaient accompli en Suisse à ce titre n'était en principe pas déterminante pour la reconnaissance d'un cas personnel d'extrême gravité au sens de l'art. 13 let. f aOLE. Il s'ensuit que les étrangers séjournant en Suisse au bénéfice d'une carte de légitimation ne peuvent en principe pas obtenir une exception aux mesures de limitation du nombre des étrangers au sens de l'art. 13 let. f aOLE lorsque prend fin la fonction (ou la mission) pour laquelle une autorisation de séjour - d'emblée limitée à ce but précis - leur avait été délivrée, sous réserve de circonstances tout à fait exceptionnelles (cf. ATAF 2007/44 consid. 4.3 page 579, jurisprudence et doctrine citées). Aussi, bien qu'en sa qualité d'enfant d'une fonctionnaire d'une organisation internationale à Genève, la recourante ait obtenu de manière indirecte une carte de légitimation du DFAE l'autorisant à séjourner temporairement en Suisse, les principes dégagés par la jurisprudence rappelée ci-dessus lui sont également applicables.</w:t>
      </w:r>
    </w:p>
    <w:p>
      <w:r>
        <w:rPr>
          <w:b/>
        </w:rPr>
        <w:t>E. 6</w:t>
      </w:r>
    </w:p>
    <w:p>
      <w:r>
        <w:t>En l'espèce, la recourante se prévaut essentiellement de la durée totale de son séjour en Suisse, des attaches socio-professionnelles qu'elle s'y est constituée, ainsi que de la présence dans ce pays de son frère et de ses soeurs.</w:t>
      </w:r>
    </w:p>
    <w:p>
      <w:r>
        <w:rPr>
          <w:b/>
        </w:rPr>
        <w:t>E. 6.1</w:t>
      </w:r>
    </w:p>
    <w:p>
      <w:r>
        <w:t>Le Tribunal se doit de relever d'abord que la durée du séjour en Suisse de la recourante, ainsi que ses prétendues attaches avec ce pays, doivent être fortement relativisées. Bien qu'elle ait certes passé en Suisse de 1980 à 1988 quelques années de sa jeune enfance, A._______ a quitté ce pays à l'âge de 8 ans et demi et a ensuite séjourné à l'étranger (essentiellement en Tanzanie, puis durant deux ans en Allemagne) jusqu'à l'âge de 22 ans, ne revenant en Suisse que durant ses vacances scolaires. Il apparaît ainsi que, durant cette période, la recourante a vécu en Tanzanie toutes les années déterminantes pour son développement personnel, soit la fin de son enfance, toute son adolescence et les premières années de sa vie d'adulte. Dans ces circonstances, on ne saurait considérer que les vacances scolaires qu'elle venait passer en Suisse l'aient, d'une part rendue totalement étrangère à sa patrie, d'autre part renforcé de manière substantielle les attaches juvéniles qu'elle s'étaient créées avec la Suisse durant son enfance. Il sied de relever par ailleurs que, depuis l'annulation, le 2 avril 2002, de la carte de légitimation DFAE dont elle bénéficiait par le statut diplomatique de sa mère, la recourante a résidé en Suisse durant près de deux ans sans aucun statut légal et que, depuis le dépôt de sa demande d'autorisation de séjour du 4 mars 2004, elle y demeure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Au surplus,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(ATAF 2007/16 consid. 7 p. 198). En l'occurrence, bien que le Tribunal ne remette nullement en cause les efforts d'intégration accomplis par l'intéressée, son bon comportement général et les liens d'amitié qu'elle s'y est constitués, il ne saurait pour autant considérer que celle-ci se soit créé avec la Suisse des attaches à ce point profondes et durables qu'elle ne puisse plus raisonnablement envisager un retour dans son pays d'origine.</w:t>
      </w:r>
    </w:p>
    <w:p>
      <w:r>
        <w:rPr>
          <w:b/>
        </w:rPr>
        <w:t>E. 6.2</w:t>
      </w:r>
    </w:p>
    <w:p>
      <w:r>
        <w:t>Il s'impose de souligner par ailleurs que, dans son courrier du 14 avril 2004 adressé à l'OCP, l'intéressée s'était engagée à retourner en Tanzanie à l'issue de ses études, déclaration qui démontre qu'elle s'estimait parfaitement en mesure d'entamer une nouvelle vie sociale et professionnelle dans son pays. Il est à noter au surplus que les études de la recourante devaient initialement s'achever au mois de mai 2005 déjà, si l'on se réfère aux attestations établies par l'IUG. Aussi, le fait que la recourante ait prolongé ses études en Suisse au point de différer de plusieurs années leur achèvement et son retour annoncé en Tanzanie ne constitue pas, et à l'évidence, un motif susceptible de fonder l'octroi d'une exception aux mesures de limitation en raison de la durée de son séjour en Suisse.</w:t>
      </w:r>
    </w:p>
    <w:p>
      <w:r>
        <w:rPr>
          <w:b/>
        </w:rPr>
        <w:t>E. 6.3</w:t>
      </w:r>
    </w:p>
    <w:p>
      <w:r>
        <w:t>En ce qui concerne les arguments d'ordre familial soulevés par la recourante, tirés de la présence en Suisse de son frère et de ses soeurs, il convient de relever que l'intéressée est désormais âgée de 29 ans et qu'elle apparaît donc parfaitement en mesure de se prendre elle-même en charge et de se réadapter aux conditions de vie du pays dans lequel elle a passé les années de sa vie les plus importantes pour son développement personnel. Il appert au surplus que sa mère est retournée en Tanzanie et qu'elle est en mesure de lui apporter le soutien dont elle y aurait éventuellement besoin. C'est sur ces deux aspects que sa situation se distingue de manière notable de celle du ressortissant ghanéen dont le Tribunal fédéral avait admis le recours sous l'angle de l'art. 13 let. f aOLE (arrêt 2A.321/2005 du 29 août 2005 consid. 4.3). Dans ces conditions, le Tribunal est amené à conclure que la demande de A._______, fondée essentiellement sur des motifs socio-familiaux, au demeurant compréhensibles, ne remplit pas les conditions d'un cas personnel d'extrême gravité au sens de l'art. 13 let. f aOLE.</w:t>
      </w:r>
    </w:p>
    <w:p>
      <w:r>
        <w:rPr>
          <w:b/>
        </w:rPr>
        <w:t>E. 7</w:t>
      </w:r>
    </w:p>
    <w:p>
      <w:r>
        <w:t>Il ressort de ce qui précède que, par sa décision du 4 mai 2006, l'ODM n'a ni violé le droit fédéral ni constaté des faits pertinents de manière inexacte ou incomplète; en outre, cette décision n'est pas inopportune (art. 49 PA). Partant, le recours doit être rejeté. Compte tenu de l'issue de la cause, il y a lieu de mettre les frais de procédure à la charge de la recourante (cf. art. 63 al. 1 PA et art. 1 à 3 du Règlement concernant les frais, dépens et indemnités fixés par le Tribunal administratif fédéral [FITAF, RS 173.320.2]). dispositif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