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C-3459/2018 vom 6. Februar 2020</w:t>
      </w:r>
    </w:p>
    <w:p>
      <w:r>
        <w:t>Bundesverwaltungsgericht, 2020-02-06, FR</w:t>
      </w:r>
    </w:p>
    <w:p>
      <w:r>
        <w:rPr>
          <w:b/>
        </w:rPr>
        <w:t xml:space="preserve">Quelle: </w:t>
      </w:r>
      <w:r>
        <w:t>https://mcp.opencaselaw.ch/entscheid/bvger_C-3459_2018</w:t>
      </w:r>
    </w:p>
    <w:p>
      <w:r>
        <w:t>FR: TAF C-3459/2018 du 6 février 2020</w:t>
      </w:r>
    </w:p>
    <w:p>
      <w:r>
        <w:t>IT: TAF C-3459/2018 del 6 febbraio 2020</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Le Tribunal administratif fédéral examine d'office et avec une pleine cognition sa compétence et les conditions de recevabilité des recours qui lui sont soumis (art. 7 PA ; ATAF 2016/15 consid. 1 ; 2014/4 consid. 1.2).</w:t>
      </w:r>
    </w:p>
    <w:p>
      <w:r>
        <w:rPr>
          <w:b/>
        </w:rPr>
        <w:t>E. 1.2</w:t>
      </w:r>
    </w:p>
    <w:p>
      <w:r>
        <w:t>En l'occurrence,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Déposé en temps utile, dans les formes requises par la loi (art. 60 LPGA et 50 al. 1 PA ; art. 52 al. 1 PA) et l'avance sur les frais de procédure ayant été dûment acquittée (art. 64 al. 3 PA), le recours est recevable.</w:t>
      </w:r>
    </w:p>
    <w:p>
      <w:r>
        <w:rPr>
          <w:b/>
        </w:rPr>
        <w:t>E. 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Par ailleurs, le juge des assurances sociales apprécie la légalité des décisions attaquées, en règle générale, d'après l'état de fait existant jusqu'au moment où la décision litigieuse a été rendue (ATF 132 V 215 consid. 3.1.1 ; 130 V 445 consid. 1.2 ; 121 V 362 consid. 1b ; TF 9C_34/2017 du 20 avril 2017 consid. 5.2 et les réf. cit). Les faits postérieurs doivent néanmoins être pris en considération lorsqu'ils sont étroitement liés à l'objet du litige et de nature à influencer l'appréciation au moment où la décision attaquée a été rendue (TF 9C_34/2017 précité consid. 5.2 et les réf. cit.).</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 119 Ib 33 consid. 1b).</w:t>
      </w:r>
    </w:p>
    <w:p>
      <w:r>
        <w:rPr>
          <w:b/>
        </w:rPr>
        <w:t>E. 3.2</w:t>
      </w:r>
    </w:p>
    <w:p>
      <w:r>
        <w:t>En l'occurrence, le dispositif de la décision attaquée est équivoque, en ce sens qu'il rejette la demande de l'assuré du 10 novembre 2015, sans toutefois préciser les prestations concrètement visées. Cela étant, vu l'intitulé de la décision attaquée ainsi que de sa motivation - qui, si elle fait référence aux mesures de réadaptation mises en oeuvre, tranche exclusivement le droit à la rente -, on comprend aisément que l'objet de la contestation concerne uniquement le droit de l'assuré à une rente d'invalidité. En tant qu'elles tendent à la prise en charge, par l'autorité précédente, de frais inhérents à l'exercice de la profession de photographe, les conclusions du recourant portent toutefois sur le droit à des mesures de réadaptation au sens des art. 8 ss LAI. Ces conclusions dépassent ainsi l'objet de la contestation et doivent être déclarées irrecevables (sur l'interprétation du dispositif, cf. entre autres : TF 9C_602/2009 du 21 décembre 2009 consid. 2.3 ; cf. également TF 9C_598/2011 du 19 avril 2012 consid. 2 et 3, 9C_944/2009 du 22 mars 2010 consid. 2 et 9C_386/2009 du 1er février 2010 cosnid. 2).</w:t>
      </w:r>
    </w:p>
    <w:p>
      <w:r>
        <w:rPr>
          <w:b/>
        </w:rPr>
        <w:t>E. 4</w:t>
      </w:r>
    </w:p>
    <w:p>
      <w:r>
        <w:t>S'agissant du droit matériel applicable, la cause présente un élément d'extranéité puisque le recourant, ressortissant français domicilié en France, a travaillé en Suisse et cotisé à l'assurance vieillesse et invalidité. Dans ces circonstances, est applicable l'accord du 21 juin 1999 sur la libre circulation des personnes (ALCP, RS 0.142.112.681) ainsi que ses annexes et règlements (en particulier : règlement n° 883/2004, RS 0.831.109.268.1, et n° 987/2009, RS 0.831.109.268.11). Ce nonobstant,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4.2</w:t>
      </w:r>
    </w:p>
    <w:p>
      <w:r>
        <w:t>Selon la jurisprudence, l'art. 28 al. 1 let. a LAI - en relation notamment avec l'art. 7 al. 1 LPGA - exprime le principe dit de la priorité de la réadaptation sur la rente (ATF 132 V 244 consid. 6.4.1 ; 126 V 241 consid. 5 ; 121 V 190 consid. 4a ; 100 V 187). Le droit à la rente d'invalidité revêt ainsi un caractère subsidiaire par rapport aux mesures de réadaptation raisonnablement exigibles qui peuvent rétablir, maintenir ou améliorer la capacité de gain ou la capacité d'accomplir les travaux habituels de la personne assurée. Le caractère subsidiaire de la rente ressort au demeurant également des art. 29 al. 2 cum 22 LAI, qui reportent la naissance du droit à la rente au terme de l'exécution de mesures de réadaptation donnant lieu au versement d'indemnités journalières (ATF 126 V 241 consid. 5 et 6 et références; TF 9C_598/2011 du 19 avril 2012 consid. 5.1.2).</w:t>
      </w:r>
    </w:p>
    <w:p>
      <w:r>
        <w:rPr>
          <w:b/>
        </w:rPr>
        <w:t>E. 4.3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Aussi, 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w:t>
      </w:r>
    </w:p>
    <w:p>
      <w:r>
        <w:rPr>
          <w:b/>
        </w:rPr>
        <w:t>E. 4.4</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p. 301; 129 V 472 consid. 4.2.1 p. 475). 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w:t>
      </w:r>
    </w:p>
    <w:p>
      <w:r>
        <w:rPr>
          <w:b/>
        </w:rPr>
        <w:t>E. 5</w:t>
      </w:r>
    </w:p>
    <w:p>
      <w:r>
        <w:t>Il ressort en l'occurrence du dossier que l'assuré a dû abandonner en mai 2015 sa profession de chauffeur en raison d'un syndrome d'apnées du sommeil, dont les symptômes se sont dissipés dans les mois ayant suivi l'arrêt de son activité pour le compte de l'entreprise B._______ (prises de position concordantes des Dr C._______, D._______, E._______ et F._______, AI pces 7 et 10). Cela étant, à suivre l'OAIE, il a acquis depuis - et grâce aux mesures de reclassement mises en oeuvre - les compétences nécessaires pour exercer une activité dans le domaine de la photographie. Aussi, pour déterminer la perte de gain de l'assuré, l'autorité précédente fait-elle correspondre le revenu d'invalide aux salaires pratiqués dans ce secteur. De son côté, l'assuré soutient que sa capacité de gain dans les métiers de la photographie est inexistante, faute d'avoir acquis une formation suffisante et de disposer du matériel nécessaire à l'exercice de ce type de professions.</w:t>
      </w:r>
    </w:p>
    <w:p>
      <w:r>
        <w:rPr>
          <w:b/>
        </w:rPr>
        <w:t>E. 5.1</w:t>
      </w:r>
    </w:p>
    <w:p>
      <w:r>
        <w:t>Quoiqu'en dise l'autorité précédente, il n'apparaît pas évident que le recourant présente une pleine capacité de gain dans les activités liées à la photographie. Au moment de la décision attaquée en effet, il était encore au bénéfice d'un placement à l'essai, susceptible d'être prolongé jusqu'à la fin du mois de juillet 2018. Or, il s'agit précisément là d'une mesure visant à vérifier si un assuré possède les capacités nécessaires pour intégrer le marché de l'emploi, en l'occurrence dans le domaine de la photographie (art. 18a LAI). On doute ainsi que les salaires pratiqués dans ce secteur d'activité puissent servir de base à la comparaison des revenus avant même que les mesures de réadaptation y relatives n'aient été menées à terme. Cela étant, on peut laisser indécise la question de savoir si l'assuré justifie d'une capacité de gain dans le secteur de la photographie. En effet, avant même que des mesures d'ordre professionnel ne soient mises en oeuvre, ce dernier disposait - à dires de médecins (prises de position concordantes des Dr C._______, D._______, E._______ et F._______, AI pces 7 et 10) - d'une pleine capacité de travail dans toute activité réclamant une capacité de concentration limitée. Aussi, le marché du travail offre-t-il un large éventail d'activités simples et répétitives, dont un bon nombre est adapté aux limitations du recourant et accessible sans aucune formation particulière (sur ces notions : ATF 110 V 273 consid. 4b). Or, dans de telles activités - dont le caractère raisonnablement exigible ne fait pas de doute (entre autres : TF 9C_236/2009 du 7 octobre 2009 consid. 4) - l'assuré est précisément en mesure de réaliser un gain excluant le droit à une rente. Ainsi, selon les données de l'ESS 2016, tableau TA1_skill_level, niveau de compétences 1, les hommes effectuant des activités simples et répétitives dans l'ensemble du secteur privé réalisent en moyenne un salaire mensuel de Fr. 5'340.-. Eu égard à l'horaire usuel de travail de 41,7 heures et à l'évolution des salaires nominaux jusqu'en 2018 (+ 0.4 % en 2017 et + 0.5% en 2018), on parvient à un salaire statistique mensuel avant abattement de Fr. 5'617.-, soit Fr. 67'404.- par an. Compte tenu du revenu sans invalidité déterminant de Fr. 80'748.- pour l'année 2018 - correspondant à un revenu de Fr. 79'561.80 en 2015, indexé à l'évolution des salaires nominaux (AI pce 1) -, le degré d'invalidité du recourant n'atteindrait pas le seuil de 40% ouvrant le droit à la rente même à admettre un revenu d'invalide de Fr. 50'553.- eu égard à un taux d'abattement de 25 %, soit le maximum admis par la jurisprudence ([80'748 - 50'553] / 80'748 x 100 = 37 %). Dans ces conditions, la décision n'est pas critiquable en tant qu'elle refuse à l'assuré le droit à une rente d'invalidité. Il est vrai que dans la mesure où elle est intervenue avant la fin des mesures de réadaptation, cette décision peut apparaître prématurée au regard du principe de la priorité de la réadaptation sur la rente (dans ce sens, TF 9C_598/2011 précité consid. 5.1, dont il ressort que le droit à la rente est sans objet durant la mise en oeuvre des mesures d'ordre professionnel). Cela étant, si ce principe exclut effectivement le droit à la rente tant que sont mises en oeuvre des mesures de réadaptation et qu'une indemnité journalière est allouée à ce titre (ATF 126 V 241), on ne voit pas qu'il fasse obstacle, dans le cas d'espèce, à ce que ce droit soit refusé sur la base de l'art. 28 al. 1 let. c LAI avant la fin des mesures en question.</w:t>
      </w:r>
    </w:p>
    <w:p>
      <w:r>
        <w:rPr>
          <w:b/>
        </w:rPr>
        <w:t>E. 5.2</w:t>
      </w:r>
    </w:p>
    <w:p>
      <w:r>
        <w:t>En tant qu'il est recevable, le recours, manifestement infondé, doit ainsi être rejeté dans une procédure à juge unique (art. 85bis al. 3 LAVS, applicable par le renvoi de l'art. 69 al. 2 LAI).</w:t>
      </w:r>
    </w:p>
    <w:p>
      <w:r>
        <w:rPr>
          <w:b/>
        </w:rPr>
        <w:t>E. 6.1</w:t>
      </w:r>
    </w:p>
    <w:p>
      <w:r>
        <w:t>En règle générale, les frais de procédure comprennent l'émolument judiciaire et les débours, et sont mis dans le dispositif à la charge de la partie qui succombe (art. 63 al. 1 PA, applicable par renvoi de l'art. 37 LTAF ; art. 1 du règlement du 21 février 2008 concernant les frais, dépens et indemnités fixés par le Tribunal administratif fédéral [FITAF, RS 173.320.2]). Vu l'issue du litige, les frais de procédure sont fixés à Fr. 800.- et mis à la charge du recourant. Ils sont compensés par l'avance de frais versée par le recourant (cf. TAF pces 3 à 5).</w:t>
      </w:r>
    </w:p>
    <w:p>
      <w:r>
        <w:rPr>
          <w:b/>
        </w:rPr>
        <w:t>E. 6.2</w:t>
      </w:r>
    </w:p>
    <w:p>
      <w:r>
        <w:t>Conformément à l'art. 7 al. 1 a contrario du FITAF, la partie qui succombe n'a pas droit aux dépens pour les frais nécessaires causés par le litige. Vu l'issue du litige, il n'est pas alloué d'indemnité à titre de dépens au recourant. L'autorité inférieure n'a pas non plus droit à une indemnité de dépens en sa qualité d'autorité (art. 7 al. 3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