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C-3457/2023 vom 31. März 2025</w:t>
      </w:r>
    </w:p>
    <w:p>
      <w:r>
        <w:t>Bundesverwaltungsgericht, 2025-03-31, FR</w:t>
      </w:r>
    </w:p>
    <w:p>
      <w:r>
        <w:rPr>
          <w:b/>
        </w:rPr>
        <w:t xml:space="preserve">Quelle: </w:t>
      </w:r>
      <w:r>
        <w:t>https://mcp.opencaselaw.ch/entscheid/bvger_C-3457_2023</w:t>
      </w:r>
    </w:p>
    <w:p>
      <w:r>
        <w:t>FR: TAF C-3457/2023 du 31 mars 2025</w:t>
      </w:r>
    </w:p>
    <w:p>
      <w:r>
        <w:t>IT: TAF C-3457/2023 del 31 marzo 2025</w:t>
      </w:r>
    </w:p>
    <w:p>
      <w:pPr>
        <w:pStyle w:val="Heading2"/>
      </w:pPr>
      <w:r>
        <w:t>Regeste</w:t>
      </w:r>
    </w:p>
    <w:p>
      <w:r>
        <w:t>Révision de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protégée à ce qu’elle soit annulée ou modifiée, elle a qualité pour recourir (art. 59 LPGA [RS 830.1] et 48 al. 1 PA). Déposé en temps utile et dans les formes requises par la loi (art. 60 LPGA et 50 al. 1 PA ; art. 52 PA), et l’avance sur les frais de procédure ayant été dûment acquittée (art. 63 al. 4 PA), le recours est recevable.</w:t>
      </w:r>
    </w:p>
    <w:p>
      <w:r>
        <w:rPr>
          <w:b/>
        </w:rPr>
        <w:t>E. 2</w:t>
      </w:r>
    </w:p>
    <w:p>
      <w:r>
        <w:t>L’objet du présent litige est le bien-fondé de la décision du 1er mai 2023, par laquelle l’OAIE a refusé d’augmenter le quart de rente d’invalidité dont bénéficie l’intéressée au motif que les éléments médicaux transmis ne permettent pas de retenir une aggravation durable de son état de santé.</w:t>
      </w:r>
    </w:p>
    <w:p>
      <w:r>
        <w:rPr>
          <w:b/>
        </w:rPr>
        <w:t>E. 2.1</w:t>
      </w:r>
    </w:p>
    <w:p>
      <w:r>
        <w:t>; 143 V 418 consid. 6 et 8.1 ; arrêts du TF 9C_815/2012 du 12 décembre 2012 consid. 3 ; 9C_701/2020 du 6 septembre 2021 consid. 4.1 et les réf. cit. ; arrêt du TAF C-4516/2020 du 12 septembre 2023 consid. 11.1 ; cf. également TAF C-2219/2021 du 17 octobre 2022 consid. 4.6.2 et</w:t>
      </w:r>
    </w:p>
    <w:p>
      <w:r>
        <w:rPr>
          <w:b/>
        </w:rPr>
        <w:t>E. 3</w:t>
      </w:r>
    </w:p>
    <w:p>
      <w:r>
        <w:t>novembre 2021 apportée au règlement du 17 janvier 1961 sur l’assurance-invalidité (RAI, RS 831.201 ; RO 2021 706). Conformément aux principes généraux en matière de droit intertemporel (ATF 149 II 320 consid. 3 ; 148 V 174 consid. 4.1 et les références), il y a lieu d'examiner en fonction des règles applicables jusqu'au 31 décembre 2021 si une modification déterminante pour le droit à la rente est survenue jusqu'à cette date (arrêt du TF 8C_55/2023 du 11 juillet 2023 consid. 2.2). Selon ces principes, le ch. 9102 de la Circulaire de l'Office fédéral des assurances sociales (OFAS) sur l'invalidité et les rentes dans l'assurance-invalidité (CIRAI ; valable à partir du 1er janvier 2022) prévoit que si la modification déterminante s'est produite avant le 1er janvier 2022, les dispositions de la LAI et celles du RAI dans leur version valable jusqu'au 31 décembre 2021 s'appliquent ; si la modification déterminante s'est produite après cette date, les dispositions de la LAI et celles du RAI dans leur version entrant en vigueur le 1er janvier 2022 s'appliquent. La date de la modification déterminante est fixée selon l'art. 88a RAI (cf. arrêt du TF 9C_187/2024 du 19 septembre 2024 consid. 3.2). En l’espèce, l’intéressée a déposé une demande de révision le 2 mars 2022 en alléguant une aggravation de son état de santé. Quant à la modification déterminante, elle se produirait, si elle était avérée, le 2 décembre 2021. La présente cause doit donc être examinée au regard des normes en vigueur jusqu’au 31 décembre 2021.</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w:t>
      </w:r>
    </w:p>
    <w:p>
      <w:r>
        <w:t>C-3457/2023 Page 9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Le 1er janvier 2022 sont entrées en vigueur, dans le cadre du « Développement continu de l'AI », la modification de la LAI et de la LPGA adoptée le 19 juin 2020 (RO 2021 705 ; FF 2017 2363), ainsi que celle du</w:t>
      </w:r>
    </w:p>
    <w:p>
      <w:r>
        <w:rPr>
          <w:b/>
        </w:rPr>
        <w:t>E. 3.4</w:t>
      </w:r>
    </w:p>
    <w:p>
      <w:r>
        <w:t>à 3.6, 4.1, 4.1.3, 4.3 et 4.4 ; 143 V 418 consid. 6 ss ; 141 V 281 consid.</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En application de l'art. 87 al. 2 RAI, lorsqu'une demande de révision est déposée, celle-ci doit établir de façon plausible que l'invalidité, l'impotence ou l'étendue du besoin de soins découlant de l'invalidité de l'assuré s'est modifiée de manière à influencer ses droits.</w:t>
      </w:r>
    </w:p>
    <w:p>
      <w:r>
        <w:rPr>
          <w:b/>
        </w:rPr>
        <w:t>E. 4.2</w:t>
      </w:r>
    </w:p>
    <w:p>
      <w:r>
        <w:t>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l’assurance-invalidité [LAI], 2018, n° 27 ss ad art. 31).</w:t>
      </w:r>
    </w:p>
    <w:p>
      <w:r>
        <w:rPr>
          <w:b/>
        </w:rPr>
        <w:t>E. 4.3</w:t>
      </w:r>
    </w:p>
    <w:p>
      <w:r>
        <w:t>; 9C_58/2011 du 25 mars 2011 consid. 3.3 ; arrêt du TAF C−2843/2016 du 30 mai 2018 consid. 8.2 ; MICHEL VALTERIO, op. cit., art. 57 LAI n° 43).</w:t>
      </w:r>
    </w:p>
    <w:p>
      <w:r>
        <w:rPr>
          <w:b/>
        </w:rPr>
        <w:t>E. 4.4</w:t>
      </w:r>
    </w:p>
    <w:p>
      <w:r>
        <w:t>;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w:t>
      </w:r>
    </w:p>
    <w:p>
      <w:r>
        <w:t>C-3457/2023 Page 14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w:t>
      </w:r>
    </w:p>
    <w:p>
      <w:r>
        <w:rPr>
          <w:b/>
        </w:rPr>
        <w:t>E. 4.7</w:t>
      </w:r>
    </w:p>
    <w:p>
      <w:r>
        <w:t>concernant les nuances entre la fibromyalgie et le trouble douloureux chronique avec des facteurs psychiques et somatiques et les réf. citées).</w:t>
      </w:r>
    </w:p>
    <w:p>
      <w:r>
        <w:t>C-3457/2023 Page 23 Il ressort du dossier que le rhumatologue traitant de l’intéressée a retenu le diagnostic de fibromyalgie en 2017. Toutefois, aucune appréciation psychiatrique n’a été effectuée quant à la question de savoir si la fibromyalgie entraînait une incapacité de travail.</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w:t>
      </w:r>
    </w:p>
    <w:p>
      <w:r>
        <w:t>C-3457/2023 Page 12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première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deuxième phrase LPGA).</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6.2.1</w:t>
      </w:r>
    </w:p>
    <w:p>
      <w:r>
        <w:t>Ainsi, avant de conférer pleine valeur probante à un rapport médical, il convient de s’assurer que les points litigieux importants ont fait l'objet</w:t>
      </w:r>
    </w:p>
    <w:p>
      <w:r>
        <w:t>C-3457/2023 Page 13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w:t>
      </w:r>
    </w:p>
    <w:p>
      <w:r>
        <w:rPr>
          <w:b/>
        </w:rPr>
        <w:t>E. 6.2.2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w:t>
      </w:r>
    </w:p>
    <w:p>
      <w:r>
        <w:rPr>
          <w:b/>
        </w:rPr>
        <w:t>E. 6.2.3</w:t>
      </w:r>
    </w:p>
    <w:p>
      <w:r>
        <w:t>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 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w:t>
      </w:r>
    </w:p>
    <w:p>
      <w:r>
        <w:rPr>
          <w:b/>
        </w:rPr>
        <w:t>E. 6.3.1</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w:t>
      </w:r>
    </w:p>
    <w:p>
      <w:r>
        <w:t>C-3457/2023 Page 15 cet examen, et donc sa condition première, nécessaire à la reconnaissance de l’existence d’une atteinte à la santé psychique, est la présence d’un diagnostic émanant d’un expert (psychiatre) et s’appuyant, lege artis, sur les critères d’un système de classification reconnu, tel la CIM ou le DSM- 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6.3.2</w:t>
      </w:r>
    </w:p>
    <w:p>
      <w:r>
        <w:t>Toutefois,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6.3.3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7.1</w:t>
      </w:r>
    </w:p>
    <w:p>
      <w:r>
        <w:t>Dans le cadre de la demande de prestations ayant abouti à l’octroi du quart de rente d’invalidité (décision du 8 juin 2021), divers rapports médicaux ont été produits dont il convient de mentionner les plus pertinents :</w:t>
      </w:r>
    </w:p>
    <w:p>
      <w:r>
        <w:t>C-3457/2023 Page 16 – rapport médical du 28 avril 2017 du Dr C._______ (OAIE pce 15), lequel indique que l’assurée présente des polyarthralgies généralisées d’intensité variable, localisées au niveau du squelette axial, des hanches et des genoux et associées à une asthénie ainsi que d’autres symptômes non spécifiques tels que myalgies, somnolence et manque d’appétit. Le Dr C._______ note que l’assurée se plaint d’une détérioration générale et physique et des troubles cognitifs (manque de concentration et trouble de la mémoire). Le Dr C._______ relève également que de nombreux examens d‘imageries médicales ont été réalisés avec des résultats variables, soit : – une dégénérescence discale au niveau L4-L5 avec extrusion discale sous-ligamentaire dorso-médiale associée à un œdème au niveau du bord postérosupérieur du corps vertébral, probablement en rapport avec une hernie de Schmorl débutante, sans signe de sacro-iliite ; – changements dégénératifs naissants dans les deux articulations coxo-fémorales, principalement à gauche, avec un empiètement postéroinférieur prédominant de l'espace articulaire et une discrète ostéophytose marginale ; légère coxa valga bilatérale ; enthésopathie à l'insertion des adducteurs sur les deux bords de la symphyse pubienne, à prédominance gauche, dans les deux épines iliaques antéroinférieures, les tubérosités ischiatiques, les crêtes iliaques avec présence d'une calcification d'environ 5,9 mm à l'insertion du petit fessier droit ; distension de la bourse sous-fessière médiale du côté gauche, avec un œdème minime entourant les deux tendons du moyen fessier (tendinose), – signes de tendinopathie d'insertion dans les deux muscles graciles, montrant une augmentation du signal intra- substantiel de leur tendon avant l'insertion au niveau du pubis, – chondromalacie grade II/III dans les deux genoux ; genou gauche avec ganglion synovial au niveau du ligament croisé postérieur. Enfin, le Dr C._______ mentionne la présence d’autres diagnostics : perte auditive mixte chronique légère, n’interférant pas avec le rythme de la conversation ; bradycardie chronique sans autres symptômes associés ; insuffisance veineuse chronique bilatérale qui s’intensifie en cas de station debout prolongée, – rapport médical du 18 mai 2017 du Dr D._______, lequel, après avoir procédé à un examen détaillé, retient les diagnostics d’une chondromalacie patellaire, d’une légère coxa valga bilatérale et d’une fibromyalgie (OAIE pce 16), – le rapport médical du J._______ (ci-après : Dr J._______), rhumatologue, du 26 juin 2017 contenant un résumé du suivi sur</w:t>
      </w:r>
    </w:p>
    <w:p>
      <w:r>
        <w:t>C-3457/2023 Page 17 de nombreuses années, en particulier les résultats des imageries médicales réalisées, et mentionnant les diagnostics de : syndrome de Raynaud, coxalgie bilatérale, tendinopathie fessière bilatérale, gonalgie, chondromalacie rotulienne grade II à droite et II/III à gauche, syndrome de la bandelette ilio-tibiale droite, lombalgie mécanique et arthralgie diffuse d’origine indéterminée. Il est également noté qu’aucune pathologie rhumatismale inflammatoire ne peut être observée actuellement (OAIE pce 17), – rapport médical détaillé E 213 du 7 décembre 2018 indiquant en substance que l’intéressée se plaint de douleurs musculaires et articulaires généralisées ainsi que le diagnostic de la fibromyalgie (OAIE pce 3), – rapport médical du 5 juin 2019 du Dr K._______ (ci-après : Dr K._______), allergologue, indiquant que l’intéressée présente une sensibilité aux acariens de la poussière de la maison (OAIE pce 36), – rapport médical du 28 août 2019 du Dr C._______ rappelant en substance les diagnostics déjà connus (OAIE pce 33), – rapport médical du 3 octobre 2019 du Dr D._______, lequel retient en sus des diagnostics déjà mentionnés un syndrome de sensibilisation centrale. Le traitement médicamenteux est composé de Xeristar 30 mg, Gabapentin 300 mg, Tryptizol 10 mg, Paxiflas 37.5/325 mg, Acétylcarnitine (OAIE pce 38), – attestation du 17 janvier 2020 d’une clinique de nutrition indiquant que l’assurée a consulté en raison des troubles digestifs (OAIE pce 50 ; cf. également OAIE pce 73), – rapport médical du 18 janvier 2020 du Dr L._______ (ci-après : Dr L._______), médecin de spécialisation inconnue, mentionnant les diagnostics de chondromalacie très avancée du genou droit, de valgus du genou droit entraînant la chondromalacie décrite, de fibromyalgie et d’épicondylite et indiquant que l’intéressée présente une affection chronique qui s’aggrave, provoquant un tableau important d’affectation avec des résultats médiocres dans ses différents traitements (OAIE pce 51), – un rapport médical d’un hôpital universitaire à M._______, en Espagne, – sans signature – du 14 septembre 2020 relevant les diagnostics déjà mentionnés (OAIE pce 60), – rapport d’évaluation neuropsychologique du 15 octobre 2020 du Dr I._______, duquel il ressort qu’en résumé, les performances cognitives sont normalisées, avec un fonctionnement normal faible dans les tâches d'attention et de mémoire différée. Des troubles sont observés dans la pensée abstraite et dans la capacité à accéder à des informations ou à un lexique déjà acquis. Le Dr I._______ indique également que contrairement à ces résultats, l’intéressée signale une nette aggravation subjective de ses capacités cognitives (OAIE pce 56),</w:t>
      </w:r>
    </w:p>
    <w:p>
      <w:r>
        <w:t>C-3457/2023 Page 18 – rapport du 30 octobre 2020 de la Dre N._______ (ci-après : Dre N._______), cheffe du service de psychiatrie, qui indique en substance que l’examen psychiatrique n’a pas révélé de troubles de l’humeur ou d’anxiété, mais seulement un désespoir dû à la présence soudaine de symptômes de fatigue et rapporte les diverses plaintes de l’assurée, par exemple sommeil fragmenté, mictions fréquentes – presque toutes les heures – même la nuit, troubles de la concentration. En outre, la Dre N._______ mentionne que l’assurée nie avoir des symptômes psychotiques. Enfin, la Dre N._______ renvoie aux tests neurologiques annexées, soit au rapport d’évaluation neuropsychologiques du 15 octobre 2020 (OAIE pce 62). Sur la base de la documentation médicale recueillie, le Dr B._______ a retenu, dans son avis médical du 17 décembre 2020, une incapacité de travail de 40% dès le 18 mai 2017 en raison d’une diminution mineure de la capacité psychophysique due à la fibromyalgie et au syndrome de fatigue chronique sans aucune constatation objective de la présence de déficits cognitifs ou d'une psychopathologie significative. En outre, le Dr B._______ relève que l’assurée n’est pas pleinement fonctionnelle – même pour un emploi aussi adapté que son activité habituelle – compte tenu de la façon dont les symptômes algiques sont décrits à plusieurs reprises, impliquant en particulier les membres inférieures avec une tension musculaire élevée et une fatigabilité accentuée ainsi que des changements dégénératifs dans la colonne vertébrale et les membres inférieurs, limitant la résistance à certaines activités physiques et la résistance à rester dans la même position corporelle (OAIE pce 66).</w:t>
      </w:r>
    </w:p>
    <w:p>
      <w:r>
        <w:rPr>
          <w:b/>
        </w:rPr>
        <w:t>E. 7.2</w:t>
      </w:r>
    </w:p>
    <w:p>
      <w:r>
        <w:t>En date du 2 mars 2022, l’intéressée a déposé une demande de révision de sa rente d’invalidité au motif que son état de santé s’est péjoré (OAIE pce 80). A l’appui de sa demande, elle a produit un rapport médical du 20 décembre 2021 du Dr C._______ (OAIE pce 79), un rapport médical du 9 décembre 2021 du Dr D._______ (OAIE pce 75) et une copie du rapport médical de son nutritionniste du 17 janvier 2020 (OAIE pce 73) ainsi que divers rapports émanant de ses physiothérapeutes (OAIE pces 74, 76 et 77).</w:t>
      </w:r>
    </w:p>
    <w:p>
      <w:r>
        <w:rPr>
          <w:b/>
        </w:rPr>
        <w:t>E. 7.2.1</w:t>
      </w:r>
    </w:p>
    <w:p>
      <w:r>
        <w:t>Par la suite, l’intéressée a produit un nouveau rapport médical du Dr C._______ daté du 10 mai 2022 (OAIE pce 89). Selon ce rapport, l’asthénie et les douleurs arthralgies persistent et les troubles digestifs (dyspepsie et des brûlures d'estomac) obligent l’intéressée à suivre un régime alimentaire spécifique. En outre, le Dr C._______ indique que l’intéressée se plaint de troubles cognitifs et de la mémoire et que tous les symptômes se sont aggravés au cours de l’année écoulée, affectant gravement son activité et son travail habituels.</w:t>
      </w:r>
    </w:p>
    <w:p>
      <w:r>
        <w:t>C-3457/2023 Page 19</w:t>
      </w:r>
    </w:p>
    <w:p>
      <w:r>
        <w:rPr>
          <w:b/>
        </w:rPr>
        <w:t>E. 7.2.2</w:t>
      </w:r>
    </w:p>
    <w:p>
      <w:r>
        <w:t>Selon le rapport médical détaillé E 213 du 13 avril 2022, les diagnostics retenus sont une fibromyalgie, un syndrome de fatigue chronique, une cervicalgie chronique non spécifique et une épicondylite gauche (OAIE pce 91).</w:t>
      </w:r>
    </w:p>
    <w:p>
      <w:r>
        <w:rPr>
          <w:b/>
        </w:rPr>
        <w:t>E. 7.2.3</w:t>
      </w:r>
    </w:p>
    <w:p>
      <w:r>
        <w:t>Dans sa prise de position du 8 juin 2022, le Dr F._______ retient que l’aggravation attestée concerne essentiellement les douleurs et la fatigue dans le cadre de la fibromyalgie et que rien ne permet de conclure à une aggravation significative des troubles dégénératifs qui sont à l’origine de la rente. En outre, le Dr F._______ indique qu’un examen neuropsychologique/psychiatrie est justifié dans la mesure où la documentation médicale actuelle ne permet de juger à leur juste valeur les troubles cognitifs évoqués (OAIE pce 99).</w:t>
      </w:r>
    </w:p>
    <w:p>
      <w:r>
        <w:rPr>
          <w:b/>
        </w:rPr>
        <w:t>E. 7.2.4</w:t>
      </w:r>
    </w:p>
    <w:p>
      <w:r>
        <w:t>Selon l’évaluation neuropsychologique du 2 novembre 2022, le Dr I._______ constate que la recourante présente des déficits dans la vitesse de traitement, l’attention sélective, la mémoire, l’apprentissage verbal et la fluidité verbale (OAIE pce 123).</w:t>
      </w:r>
    </w:p>
    <w:p>
      <w:r>
        <w:rPr>
          <w:b/>
        </w:rPr>
        <w:t>E. 7.2.5</w:t>
      </w:r>
    </w:p>
    <w:p>
      <w:r>
        <w:t>Selon le rapport médical de la Dre G._______ du 7 novembre 2022, aucun trouble de la mémoire et cognitif n’est retenu. La Dre G._______ retient un diagnostic de trouble factice et relève qu’il n’existe pas d’incapacité de travail dans l’activité habituelle (OAIE pce 105).</w:t>
      </w:r>
    </w:p>
    <w:p>
      <w:r>
        <w:rPr>
          <w:b/>
        </w:rPr>
        <w:t>E. 7.2.6</w:t>
      </w:r>
    </w:p>
    <w:p>
      <w:r>
        <w:t>Dans son rapport médical du 1er février 2023, le Dr D._______ résume l’évolution de l’état de santé de l’assurée depuis 2017, retient les diagnostics de fibromyalgie, de syndrome de fatigue chronique, de chondropathie rotulienne, de légère coxa valga bilatérale, de tendinopathie de la musculature glutéale, de scoliose lombaire et de spondylarthrose lombaire. En outre, le Dr D._______ effectue une description détaillée de la fibromyalgie (OAIE pce 124).</w:t>
      </w:r>
    </w:p>
    <w:p>
      <w:r>
        <w:rPr>
          <w:b/>
        </w:rPr>
        <w:t>E. 7.2.7</w:t>
      </w:r>
    </w:p>
    <w:p>
      <w:r>
        <w:t>Selon le rapport médical du 13 mai 2023, le Dr C._______ indique que la recourante, atteinte d’une fibromyalgie, souffre depuis six mois d’une raideur des mains, et qu’une infiltration a été réalisée. En outre, le Dr C._______ rapporte que l’intéressée se plaint d’une aggravation de la douleur dans le squelette axial, avec une augmentation de la cyphose dorsale, et qu’elle présente des épisodes intermittents de perte de voix et de dysphonie, l’obligeant à cesser de parler et limitant son activité professionnelle (OAIE pce 126).</w:t>
      </w:r>
    </w:p>
    <w:p>
      <w:r>
        <w:t>C-3457/2023 Page 20</w:t>
      </w:r>
    </w:p>
    <w:p>
      <w:r>
        <w:rPr>
          <w:b/>
        </w:rPr>
        <w:t>E. 7.2.8</w:t>
      </w:r>
    </w:p>
    <w:p>
      <w:r>
        <w:t>Sur le plan somatique, le Dr F._______ mentionne et commente les certificats médicaux transmis par l’intéressée dans le cadre de sa demande de révision. En substance, le Dr F._______ rappelle que la rente avait été accordée pour des troubles dégénératifs légers à modérés objectifs et que rien ne prouve une aggravation de ces troubles. Selon le Dr F._______, toute l’argumentation d’aggravation repose sur l’évolution de la fibromyalgie/syndrome de la fatigue chronique, cela restant non objectif dans le cadre de la jurisprudence suisse. Enfin, le Dr F._______ indique maintenir son avis antérieur et invite le Dr H._______ à se prononcer sur le plan psychiatrique (cf. prise de position médicale du 6 avril 2023 [OAIE pce 130]).</w:t>
      </w:r>
    </w:p>
    <w:p>
      <w:r>
        <w:rPr>
          <w:b/>
        </w:rPr>
        <w:t>E. 7.2.9</w:t>
      </w:r>
    </w:p>
    <w:p>
      <w:r>
        <w:t>Dans sa prise de position du 17 avril 2023, le Dr H._______ indique que les constatations du Dr I._______ figurant dans son évaluation neuropsychologique du 2 novembre 2022 ne constituent pas une pathologie psychiatrique pleine et entière et qu’il n’est pas possible de pouvoir appréhender des signes neuropsychologiques isolés, permettant d’apparier ces symptômes à un éventuel trouble psychiatrique. En outre, le Dr H._______ indique que le rapport médical du 7 novembre 2022 de la Dre G._______ est postérieur à l’évaluation du Dr I._______ et que la Dre G._______ ne retenait pas de psychopathologie incapacitante de longue durée. Enfin, le Dr H._______ indique que dans le cadre de la pathologie rhumatismale, l’assurée prend un traitement par benzodiazépine qui peut affecter la cognition par processus iatrogène. En conclusion, le Dr H._______ maintient sa position du 14 décembre 2022 (cf. OAIE pce 111), soit qu’il n’est décrit aucune psychopathologie incapacitante de longue durée pouvant influencer le droit à la rente (OAIE pce 131).</w:t>
      </w:r>
    </w:p>
    <w:p>
      <w:r>
        <w:rPr>
          <w:b/>
        </w:rPr>
        <w:t>E. 8.1</w:t>
      </w:r>
    </w:p>
    <w:p>
      <w:r>
        <w:t>Il convient dès lors d’examiner d’abord, si, comme l’a estimé l’OAIE pour fonder la décision entreprise, les prises de position médicale de son service médical remplissent les réquisits jurisprudentiels y afférents et peuvent se voir attribuer pleine valeur probante.</w:t>
      </w:r>
    </w:p>
    <w:p>
      <w:r>
        <w:rPr>
          <w:b/>
        </w:rPr>
        <w:t>E. 8.2.1</w:t>
      </w:r>
    </w:p>
    <w:p>
      <w:r>
        <w:t>Sur le plan somatique, le Tribunal constate que le Dr F._______ déclare qu’il n’y a pas eu d’aggravation significative des troubles dégénératifs qui sont à l’origine de la rente. Toutefois, il sied en particulier de relever que le Dr F._______ ne se prononce pas sur le diagnostic de scoliose lombaire, figurant au rapport médical du Dr D._______ du 1er</w:t>
      </w:r>
    </w:p>
    <w:p>
      <w:r>
        <w:t>C-3457/2023 Page 21 février 2023. Il ressort également de ce rapport du Dr D._______ qu’une IRM rachidienne, réalisée le 25 août 2021, a montré un début de discopathie L3-L4 et L4-L5, sans signe d’atteinte radiculaire et avec des changements de signal dans les plaques D7 et D8 (OAIE pce 124 p. 4). Cette discopathie n’est pas non plus mentionnée par le Dr F._______.</w:t>
      </w:r>
    </w:p>
    <w:p>
      <w:r>
        <w:rPr>
          <w:b/>
        </w:rPr>
        <w:t>E. 8.2.2</w:t>
      </w:r>
    </w:p>
    <w:p>
      <w:r>
        <w:t>En outre, le Dr F._______ persiste dans ses conclusions relatives au caractère non invalidant de la fibromyalgie selon la jurisprudence suisse tout en indiquant qu’une apparition de troubles cognitifs modérés est possible dans le cadre important des plaintes fibromyalgiques alors que dans sa prise de position du 6 décembre 2022 (cf. OAIE pce 109), le Dr F._______ s’alliait aux constatations médicales de la Dre G._______ relatives à l’absence de pathologie psychiatrique (cf. prise de position médicale du 6 avril 2023 [OAIE pce 130]). Ainsi, il sied de constater que le Dr F._______ se contredit lui-même en retenant la possibilité de troubles cognitifs modérés dans le cadre important des plaintes fibromyalgiques et émet indirectement un doute sur la fiabilité des conclusions de la Dre G._______.</w:t>
      </w:r>
    </w:p>
    <w:p>
      <w:r>
        <w:rPr>
          <w:b/>
        </w:rPr>
        <w:t>E. 8.2.3</w:t>
      </w:r>
    </w:p>
    <w:p>
      <w:r>
        <w:t>S’agissant du diagnostic de fibromyalgie, retenu en 2017 par le rhumatologue traitant de l’intéressée, il n’est pas clair si cette atteinte a été prise en compte ou non lors de l’octroi d’un quart de rente d’invalidité par décision du 8 juin 2021. En effet, dans sa prise de position médicale initiale du 20 juin 2019, le Dr B._______ avait indiqué qu’il ne pouvait pas attribuer à l’assurée une incapacité de travail supérieure à 30% en l’absence d’une psychopathologie rendant les douleurs insurmontables par la force de la volonté et il avait également répondu par « non » à la question de savoir si l’on est en présence d’un syndrome sans étiologie claire et sans constat de déficit organique, tels que les troubles somatoformes douloureux, la fibromyalgie, le syndrome de fatigue chronique, etc. (OAIE pce 30). Toutefois, le Dr B._______ a mentionné le diagnostic de fibromyalgie parmi les diagnostics principaux (cf. OAIE pces 30 et 66). A cet égard, il convient de relever que le Dr B._______ n’a pas différencié les diagnostics avec répercussion sur la capacité de travail de ceux sans répercussion mais il s’est uniquement limité à mentionner les diagnostics principaux. En conséquence, il n’est pas clair si la fibromyalgie a été considérée comme ayant une répercussion sur la capacité de travail de l’intéressée mais la prise de position du 20 juin 2019 susmentionnée laisse supposer que le Dr B._______ se référait à l’ancienne jurisprudence du Tribunal fédéral, soit la présomption selon laquelle les affections psychosomatiques peuvent être surmontées par un effort de la volonté raisonnablement exigible. Partant, le Dr B._______ n’a pas tenu compte du changement de</w:t>
      </w:r>
    </w:p>
    <w:p>
      <w:r>
        <w:t>C-3457/2023 Page 22 jurisprudence intervenu pour les maladies psychiques, tels que les symptomatologies douloureuses sans substrat organique objectivable, les autres affections psychosomatiques assimilées ou encore les troubles dépressifs (cf. par exemple : ATF 141 V 281 et 143 V 409). En outre, le Tribunal constate que dans sa décision du 8 juin 2021 – laquelle n’a pas fait l’objet d’une contestation et est entrée en force –, l’autorité inférieure motive l’incapacité de travail de 40% en raison d’une charge psychophysique mineure due à une fibromyalgie et à un syndrome de fatigue chronique (cf. OAIE pces 70 et 72). Or, le Dr F._______ persiste dans ses prises de position médicale en déclarant que le quart de rente a été octroyé en raison des troubles dégénératifs et que la fibromyalgie n’est pas considérée comme invalidante en Suisse. Dans le cadre de la décision litigieuse du 1er mai 2023, l’autorité inférieure a notamment indiqué dans la motivation de sa décision que selon la législation suisse, la fibromyalgie ne donne pas le droit à une rente d’invalidité (OAIE pce 132 p. 2). En somme, il existe une ambiguïté concernant les atteintes invalidantes ayant donné lieu à l’octroi d’un quart de rente et l’appréciation de la fibromyalgie par le SMR.</w:t>
      </w:r>
    </w:p>
    <w:p>
      <w:r>
        <w:rPr>
          <w:b/>
        </w:rPr>
        <w:t>E. 8.2.4</w:t>
      </w:r>
    </w:p>
    <w:p>
      <w:r>
        <w:t>Quoi qu’il en soit, selon la jurisprudence,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(ATF 143 V 409 consid. 4.5.1 et 4.5.2), son évaluation sur le plan de la capacité de travail est soumise à la grille d’évaluation susmentionnée (ATF 141 V 281 consid. 2,</w:t>
      </w:r>
    </w:p>
    <w:p>
      <w:r>
        <w:rPr>
          <w:b/>
        </w:rPr>
        <w:t>E. 8.3</w:t>
      </w:r>
    </w:p>
    <w:p>
      <w:r>
        <w:t>Selon les pièces au dossier, la recourante n’est pas suivie sur le plan psychiatrique. L’intéressée allègue essentiellement des troubles cognitifs, pour lesquels le Dr F._______ a demandé un examen neuropsychologique et l’avis de son confrère psychiatre, le Dr H._______. Dans ses prises de position médicale, le Dr H._______ ne retient aucune pathologie psychiatrique en se basant sur les rapports médicaux de la Dre G._______ et du Dr I._______ ainsi qu’en se référant aux prises de position médicale du Dr F._______. Concernant le rapport médical de la Dre G._______ (OAIE pce 105), il sied de constater que celui-ci contient une partie intitulée « antécédents et motivation de l’évaluation » dans laquelle sont rapportées quelques informations personnelles – soit son âge, le nombre d’enfants et son état civil – et professionnelles ainsi que les plaintes de l’intéressée relatives à ses douleurs. Il est également rapporté que l’intéressée n’a pas de vie sociale – repliée sur elle-même –, ne sort pas de chez elle et qu’elle est toujours fatiguée. En outre, l’assurée a déclaré avoir l’impression que son cerveau est bloqué. Dans la partie concernant l’exploration psychopathologique, la Dre G._______ rapporte en substance que l’intéressée est coopérative, non confuse et vigilante, que la mémoire à court terme et à long terme ainsi que la concentration sont conservées, qu’aucun désordre formel ou de contenu de la pensée n’est objectivé et que l’humeur est légèrement hypothymique et adaptée à la situation. En outre, la Dre G._______ relève en substance l’absence d’hallucination, de déréalisation, de dépersonnalisation, d’anxiété, d’attaques de panique et d’idéation auto ou hétérolytique. La Dre G._______ indique que l’évaluation fonctionnelle selon l’échelle d’évaluation globale du fonctionnement (ci-après : EGF) est de 90. L’EGF est une échelle numérique (allant de 0 à 100) utilisée en psychiatrie pour évaluer le fonctionnement psychologique, social et professionnel d’un individu et il s’agit d’un continuum hypothétique allant de la santé mentale à la maladie, cette échelle permet de coter l’axe V du DSM-IV. Selon le diagnostic général compris entre 81 et 90, l’individu souffre de « symptômes minimes (par ex. anxiété légère avant un examen), fonctionnement satisfaisant dans tous les domaines, intéressé et impliqué dans une grande variété d’activités, socialement efficace, en général satisfait de la vie, pas plus de problèmes ou de préoccupations que les soucis de tous les jours, par</w:t>
      </w:r>
    </w:p>
    <w:p>
      <w:r>
        <w:t>C-3457/2023 Page 24 exemple conflit occasionnel avec membres de la famille » (cf. https://fr.wikipedia.org/wiki/%C3%89chelle_d%27%C3%A9valuation_glob ale_du_fonctionnement, consulté le 10 janvier 2025). La Dre G._______ en conclut qu’il n’y a pas d’incompatibilité entre l’activité professionnelle et la capacité fonctionnelle et recommande la reprise immédiate du travail. En ce qui concerne les diagnostics, la Dre G._______ retient un trouble factice. A cet égard, le Tribunal constate que le diagnostic de trouble factice ne repose sur aucune motivation et que la capacité de travail est retenue par rapport à une échelle sans explication. Puis, afin d’évaluer la capacité de travail et le caractère invalidant d’une affection comme la fibromyalgie, une analyse de la capacité de travail doit être faite à la lumière des indicateurs développés par la jurisprudence (concernant le catalogue d’indicateurs cf. consid. 6.3.1). Or, ces éléments ne sont pas évoqués dans le rapport médical de la Dre G._______ et les prises de position du Dr H._______. Par ailleurs, il convient également de relever que dans sa prise de position médicale du 14 décembre 2022, le Dr H._______ confirme la conclusion du Dr F._______ (cf. prise de position du 6 décembre 2022 du Dr F._______ [OAIE pce 109]) sur le plan psychiatrique et rapporte les constatations de la Dre G._______ concernant l’absence de troubles cognitifs en particulier. Toutefois, le Dr H._______ ne mentionne pas le trouble factice retenu par la Dre G._______, et n’émet aucune appréciation à ce sujet. En outre, le Dr H._______ ne se prononce pas sur les nouveaux scores des échelles de dépression figurant au rapport médical du Dr D._______ du 1er février 2023 comme cela avait été demandé par le Dr F._______ dans sa prise de position médicale du 6 avril 2023 (cf. OAIE pce 130 p. 2). Ainsi, le Tribunal constate qu’à l’instar de son confrère somaticien, le Dr H._______ se limite à confirmer qu’il n’existe pas de troubles cognitifs sans toutefois effectuer une évaluation normative et structurée du caractère invalidant de la fibromyalgie au moyen d’indicateurs standards conformément à la jurisprudence du Tribunal fédéral. Partant, les prises de position médicale sur le plan psychiatrique du Dr H._______ ne remplissent pas les réquisits jurisprudentiels et ne peuvent se voir accorder de valeur probante.</w:t>
      </w:r>
    </w:p>
    <w:p>
      <w:r>
        <w:rPr>
          <w:b/>
        </w:rPr>
        <w:t>E. 8.4</w:t>
      </w:r>
    </w:p>
    <w:p>
      <w:r>
        <w:t>Compte tenu de ce qui précède, le Tribunal constate que l’autorité inférieure n’a pas effectué l’instruction adéquate en présence d’un diagnostic de fibromyalgie. Les prises de position médicale de son service médical n’ont par ailleurs pas de valeur probante dans la mesure où l’ensemble de l’état de santé de la recourante n’a pas fait l’objet d’un examen circonstancié. Dans ces circonstances, le Tribunal ne peut déterminer au degré de la vraisemblance prépondérante si l’état de santé</w:t>
      </w:r>
    </w:p>
    <w:p>
      <w:r>
        <w:t>C-3457/2023 Page 25 de la recourante a subi ou non une modification importante depuis la décision du 8 juin 2021.</w:t>
      </w:r>
    </w:p>
    <w:p>
      <w:r>
        <w:rPr>
          <w:b/>
        </w:rPr>
        <w:t>E. 8.5</w:t>
      </w:r>
    </w:p>
    <w:p>
      <w:r>
        <w:t>Par souci de complétude, il convient de relever encore que la documentation médicale produite par la recourante dans le cadre de la présente procédure figure déjà au dossier de l’autorité inférieure et qu’elle n’est pas susceptible de déterminer la capacité de travail de l’intéressée ou de constater une modification de son état de santé.</w:t>
      </w:r>
    </w:p>
    <w:p>
      <w:r>
        <w:rPr>
          <w:b/>
        </w:rPr>
        <w:t>E. 9</w:t>
      </w:r>
    </w:p>
    <w:p>
      <w:r>
        <w:t>Ainsi, au vu des éléments au dossier, le Tribunal ne voit pas comment les Drs F._______ et H._______ sont parvenus aux conclusions qui sont les leurs s’agissant de l’état de santé de la recourante. En effet, le Tribunal constate que le Dr F._______ ne se prononce pas sur les diagnostics de fibromyalgie et de fatigue chronique figurant au dossier et déclare simplement que la fibromyalgie n’est pas reconnue comme une atteinte invalidante au sens de la jurisprudence suisse alors que le caractère invalidant ou non de cette atteinte doit faire l’objet d’une évaluation conformément aux indicateurs standards jurisprudentiels susmentionnés. En ce qui concerne les atteintes somatiques, le Dr F._______ retient que celles-ci n’ont pas subi de modification et ce, sans se prononcer sur la scoliose lombaire qui ne figurait pas parmi les diagnostics mentionnés lors de l’octroi d’un quart de rente d’invalidité par décision du 8 juin 2021. Quant au Dr H._______, il ne se prononce pas sur le caractère invalidant ou pas de la fibromyalgie et se limite à déclarer qu’il n’existe pas de troubles psychiatriques et que le traitement par benzodiazépine – administré dans le cadre de la pathologie rhumatismale – peut affecter la cognition par processus iatrogène. A cet égard, il convient également de relever que les Drs F._______ et H._______ n’ont pas soulevé les questions relatives à la consommation médicamenteuse et de ses effets sur la capacité de travail de l’intéressée. En effet, selon les informations au dossier, le traitement médicamenteux de l’intéressée est composé des médicaments suivants : Opiren 15 mg, Arcoxia 60 mg, Artrotec 50 0.2 mg, Ibuprofène 600 mg, Potasion 600 mg, Gabapentine 300 mg, Paxiflas 37.5 mg/325 mg, Tryptizol</w:t>
      </w:r>
    </w:p>
    <w:p>
      <w:r>
        <w:rPr>
          <w:b/>
        </w:rPr>
        <w:t>E. 10</w:t>
      </w:r>
    </w:p>
    <w:p>
      <w:r>
        <w:t>mg (amitriptyline), Xeristar 30 mg (duloxétine) et la benzodiazépine (cf. OAIE pces 78 et 124 p. 4). Ainsi, il sied de constater que le traitement médicamenteux comprend des inhibiteurs sélectifs de la recapture de la sérotonine (par exemple, Xeristar 30 mg), des antidépresseurs tricycliques (soit Tryptizol 10 mg) et de la benzodiazépine, qui sont connus pour être addictifs et peuvent provoquer des difficultés de concentration. Par conséquent, le Tribunal constate que cette question n’est pas non plus traitée par le service médical de l’OAIE. Force est ainsi de constater que</w:t>
      </w:r>
    </w:p>
    <w:p>
      <w:r>
        <w:t>C-3457/2023 Page 26 les pièces au dossier ne permettent pas d’apprécier, au degré de la vraisemblance prépondérante, l’état de santé somatique et psychiatrique de l’intéressée, ses limitations fonctionnelles et sa capacité résiduelle de travail ; en particulier, il n’est pas possible de déterminer si l’état de santé de l’assurée s’est modifié depuis la décision du 8 juin 2021. Les prises de position des médecins AI, qui se fondent sur ces pièces et qui ont servi de base à la décision litigieuse, ne peuvent donc pas constituer une évaluation finale. Il y a lieu d’annuler la décision entreprise et de procéder à une instruction complémentaire.</w:t>
      </w:r>
    </w:p>
    <w:p>
      <w:r>
        <w:rPr>
          <w:b/>
        </w:rPr>
        <w:t>E. 10.1</w:t>
      </w:r>
    </w:p>
    <w:p>
      <w:r>
        <w:t>Aux termes de l’art. 61 al. 1 PA, l’autorité de recours statue elle-même sur l’affaire ou exceptionnellement la renvoie avec des instructions impératives à l’autorité inférieure.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TAF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10.2</w:t>
      </w:r>
    </w:p>
    <w:p>
      <w:r>
        <w:t>L’autorité inférieure requerra le dossier médical complet de l’intéressée auprès de ses médecins traitants, en particulier toutes les informations nécessaires relatives au traitement médicamenteux de l’intéressé, et, ensuite, mettra en œuvre une expertise médicale en Suisse, sous réserve de l’art. 43 al. 2 LPGA,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t>C-3457/2023 Page 27</w:t>
      </w:r>
    </w:p>
    <w:p>
      <w:r>
        <w:rPr>
          <w:b/>
        </w:rPr>
        <w:t>E. 11</w:t>
      </w:r>
    </w:p>
    <w:p>
      <w:r>
        <w:t>Partant, le recours doit être admis et la décision du 1er mai 2023 annulée. La cause doit être renvoyée à l’autorité inférieure pour instruction complémentaire dans le sens des considérants et nouvelle décision.</w:t>
      </w:r>
    </w:p>
    <w:p>
      <w:r>
        <w:rPr>
          <w:b/>
        </w:rPr>
        <w:t>E. 12</w:t>
      </w:r>
    </w:p>
    <w:p>
      <w:r>
        <w:t>Vu l’issue du litige, il n’y a pas lieu de percevoir de frais de procédure. La recourante a en effet obtenu gain de cause par le renvoi de l’affaire à l’autorité inférieure (ATF 132 V 215 consid. 2.6) et aucun frais de procédure ne peut être mis à la charge de l’autorité inférieure (art. 63 al. 2, 1ère phrase, PA). Partant, l’avance de frais de 800 francs versée par la recourante (TAF pces 9 à 15)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 par ailleurs pas droit (art. 64 al. 1 PA et art. 7 ss du règlement du 21 février 2008 concernant les frais, dépens et indemnités fixés par le Tribunal administratif fédéral [FITAF, RS 173.320.2]). (le dispositif se trouve à la page suivante)</w:t>
      </w:r>
    </w:p>
    <w:p>
      <w:r>
        <w:t>C-3457/2023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