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C-3453/2011 vom 9. November 2011</w:t>
      </w:r>
    </w:p>
    <w:p>
      <w:r>
        <w:t>Bundesverwaltungsgericht, 2011-11-09, DE</w:t>
      </w:r>
    </w:p>
    <w:p>
      <w:r>
        <w:rPr>
          <w:b/>
        </w:rPr>
        <w:t xml:space="preserve">Quelle: </w:t>
      </w:r>
      <w:r>
        <w:t>https://mcp.opencaselaw.ch/entscheid/bvger_C-3453_2011</w:t>
      </w:r>
    </w:p>
    <w:p>
      <w:r>
        <w:t>FR: TAF C-3453/2011 du 9 novembre 2011</w:t>
      </w:r>
    </w:p>
    <w:p>
      <w:r>
        <w:t>IT: TAF C-3453/2011 del 9 novembre 2011</w:t>
      </w:r>
    </w:p>
    <w:p>
      <w:pPr>
        <w:pStyle w:val="Heading2"/>
      </w:pPr>
      <w:r>
        <w:t>Regeste</w:t>
      </w:r>
    </w:p>
    <w:p>
      <w:r>
        <w:t>Bewilligung zur Wiedereinreise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und Art. 1 RDV). Das Urteil des Bundesverwaltungsgerichts ist endgültig (Art. 83 Bst. c Ziff. 6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Die Beschwerdeführenden sind als Verfügungsadressaten gemäss Art. 48 Abs. 1 VwVG zur Beschwerde legitimiert. Auf die frist- und nachträglich formgerecht eingereichte Beschwerde ist - unter Vorbehalt der nachfolgenden Ausführungen (siehe E. 2 hiernach) - einzutreten (vgl. Art. 50 und 52 VwVG).</w:t>
      </w:r>
    </w:p>
    <w:p>
      <w:r>
        <w:rPr>
          <w:b/>
        </w:rPr>
        <w:t>E. 2.1</w:t>
      </w:r>
    </w:p>
    <w:p>
      <w:r>
        <w:t>Verfahrensgegenstand bilden drei Gesuche um Ausstellung von Identitätsausweisen mit Bewilligung zur Wiedereinreise für den Sommer 2011. Gemäss Art. 48 Abs. 1 Bst. b und c VwVG ist zur Beschwerde berechtigt, wer durch die angefochtene Verfügung besonders berührt ist und ein schutzwürdiges Interesse an deren Aufhebung oder Änderung hat. Das schutzwürdige Interesse besteht im praktischen bzw. positiven Nutzen, welchen die erfolgreiche Beschwerde der beschwerdeführenden Partei eintragen würde oder aber in der Abwendung eines realen - materiellen oder ideellen - Nachteils (vgl. etwa BGE 131 II 587 E. 2.1 S. 588 f., BGE 131 V 298 E. 3 S. 300 und BGE 127 V 80 E. 3a/aa S. 82 f. oder BVGE 2007/20 E. 2.4.1). Ein solches Interesse ist in der Regel nur dann schutzwürdig, wenn es im Zeitpunkt der Urteilsfällung aktuell ist (BGE 129 I 113 E. 1.7 S. 119, BGE 128 II 34 E. 1b S. 36). In der Rechtsprechung wird auf das Erfordernis der Aktualität des Interesses ausnahmsweise verzichtet, wenn sich die aufgeworfenen Fragen jederzeit unter gleichen oder ähnlichen Umständen wieder stellen können, ohne dass im Einzelfall rechtzeitig eine richterliche Prüfung stattfinden kann. Darüber hinaus muss an der Beantwortung der Fragen wegen ihrer grundsätzlichen Bedeutung ein hinreichendes öffentliches Interesse bestehen (BGE 131 II 670 E. 1.2 S. 673 f., BGE 128 II 34 E. 1b S. 36; ferner Vera Marantelli-Sonanini/Said Huber, in Waldmann/Weissenberger [Hrsg.], Praxiskommentar VwVG, Zürich 2009, Art. 48 N 15 f. oder Alfred Kölz/Isabelle Häner, Verwaltungsverfahren und Verwaltungsrechtpflege des Bundes, 2. Aufl., Zürich 1998, Rz. 540).</w:t>
      </w:r>
    </w:p>
    <w:p>
      <w:r>
        <w:rPr>
          <w:b/>
        </w:rPr>
        <w:t>E. 2.2</w:t>
      </w:r>
    </w:p>
    <w:p>
      <w:r>
        <w:t>Diese Voraussetzungen sind vorliegend erfüllt. Die Frage, ob die Vorinstanz die Ausstellung der beantragten Reisedokumente verweigern durfte, kann sich immer wieder stellen. Je nach Zeitpunkt der Einreichung solcher Gesuche wird das Bundesverwaltungsgericht aufgrund der gesetzlich zwingend zu beachtenden Verfahrensschritte häufig nicht in der Lage sein, vor Ablauf des gewünschten Reisetermins ein Urteil in der Sache zu fällen. Im Übrigen haben die Beschwerdeführenden in der Stellungnahme vom 15. Juni 2011 klar signalisiert, die erkrankte Schwester der Beschwerdeführerin 2 jedes Jahr im Iran besuchen zu wollen. Sie haben daher nach wie vor ein schutzwürdiges Interesse an einer richterlichen Überprüfung der sich in diesem Zusammenhang in Zukunft erneut stellenden Streitfragen (siehe hierzu Isabelle Häner, in: Christoph Auer/Markus Müller/Benjamin Schindler [Hrsg.], Kommentar zum Bundesgesetz über das Verwaltungsverfahren [VwVG], Zürich/St. Gallen 2008, Art. 48 N 21 und 22).</w:t>
      </w:r>
    </w:p>
    <w:p>
      <w:r>
        <w:rPr>
          <w:b/>
        </w:rPr>
        <w:t>E. 2.3</w:t>
      </w:r>
    </w:p>
    <w:p>
      <w:r>
        <w:t>In ihrer Beschwerdeverbesserung beantragen die Beschwerdeführenden die Gewährung des "politischen Asyls". Dieses Begehren geht über den Anfechtungsgegenstand hinaus (vgl. hierzu Kölz/Häner, a.a.O., Rz. 404). Auf das Rechtsmittel ist somit nur im dargelegten Umfang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4</w:t>
      </w:r>
    </w:p>
    <w:p>
      <w:r>
        <w:t>In der knapp rechtsgenüglichen Rechtsmitteleingabe vom 12. Juli 2011, welche wie erwähnt in schwer verständlichem Deutsch verfasst wurde, findet sich sinngemäss ein Antrag auf Akteneinsicht ("bitte Schicken sie meinem Akten"). Eine ähnliche Formulierung enthält die E-Mail vom 28. Juni 2011 an die Vorinstanz. Das vorinstanzliche Dossier und die Akten des Bundesverwaltungsgerichts beinhalten, mit einer Ausnahme, allerdings ausschliesslich Unterlagen, Korrespondenzen und Entscheide, welche den Beschwerdeführenden bereits bekannt sind. Eine separate bzw. nochmalige Akteneinsicht in die fraglichen Dossiers erübrigte sich daher. Einzig von einer am 8. Juli 2011 vom Bundesverwaltungsgericht erstellten Aktennotiz haben sie keine Kenntnis. Beim fraglichen Aktenstück handelt es sich um die Wiedergabe zweier telefonischer Auskünfte zu Handen der Beschwerdeführerin 2 vom 6. Juli 2011. Dieser Telefonnotiz kommt indessen weder Beweischarakter zu noch ist sie geeignet, den Ausgang des Verfahrens beeinflussen zu können. Nach ständiger bundesgerichtlicher Rechtsprechung bleiben derartige verwaltungsinterne Akten (Entwürfe, Anträge, Notizen, Mitberichte, etc.) sowohl vom gesetzlichen als auch vom verfassungsmässigen Akteineinsichtsrecht ausgeschlossen (vgl. Bernhard Waldmann/Magnus Oeschger, Praxiskommentar VwVG, a.a.O., Art. 26 N 63 und 64). Eine Verletzung des rechtlichen Gehörs liegt demnach nicht vor.</w:t>
      </w:r>
    </w:p>
    <w:p>
      <w:r>
        <w:rPr>
          <w:b/>
        </w:rPr>
        <w:t>E. 5.1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Bewilligungen zur Wiedereinreise und bei erwiesener Schriftenlosigkeit im Sinne von Art. 6 RDV zusätzlich Identitätsausweise ausgestellt. Zwingend ist für vorläufig aufgenommene Personen und Schutzbedürftige jedoch der Nachweis der Schriftenlosigkeit, wenn zusätzlich ein Identitätsausweis ausgestellt werden soll.</w:t>
      </w:r>
    </w:p>
    <w:p>
      <w:r>
        <w:rPr>
          <w:b/>
        </w:rPr>
        <w:t>E. 5.2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5.3</w:t>
      </w:r>
    </w:p>
    <w:p>
      <w:r>
        <w:t>Aus den Akten ergibt sich, dass die Beschwerdeführenden zurzeit über keine gültigen heimatlichen Reisepapiere verfügen.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und Art. 90 Bst. c AuG i.V.m. Art. 8 der Verordnung vom 24. Oktober 2007 über Zulassung, Aufenthalt und Erwerbstätigkeit [VZAE, SR 142.201]).</w:t>
      </w:r>
    </w:p>
    <w:p>
      <w:r>
        <w:rPr>
          <w:b/>
        </w:rPr>
        <w:t>E. 6.1</w:t>
      </w:r>
    </w:p>
    <w:p>
      <w:r>
        <w:t>Vorliegend ist demnach vorab zu prüfen, ob die Vorinstanz hinsicht­lich der Beschwerdeführenden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dabei nicht nach subjektiven, sondern nach objektiven Massstäben zu beurteilen (vgl. Urteile des Bundesgerichts 2A.335/2006 vom 18. Oktober 2006 E. 2.1 sowie 2A.12/2005 und 2A.13/2005 vom 25. April 2005 E. 3.2 mit Hinweisen).</w:t>
      </w:r>
    </w:p>
    <w:p>
      <w:r>
        <w:rPr>
          <w:b/>
        </w:rPr>
        <w:t>E. 6.2</w:t>
      </w:r>
    </w:p>
    <w:p>
      <w:r>
        <w:t>Namentlich von Schutzbedürftigen und Asylsuchenden während dem hängigen Verfahren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von Mai 2006 [ANAG-Weisungen], online zu finden unter: www.bfm.admin.ch, Dokumentation &gt; Rechtli­che Grundlagen &gt; Weisungen und Kreisschreiben &gt; Ar­chiv Weisungen und Kreisschreiben [ausser Kraft] &gt; Weisungen und Erläuterungen: Einreise, Aufenthalt und Arbeitsmarkt &gt; Weisungen).</w:t>
      </w:r>
    </w:p>
    <w:p>
      <w:r>
        <w:rPr>
          <w:b/>
        </w:rPr>
        <w:t>E. 6.3</w:t>
      </w:r>
    </w:p>
    <w:p>
      <w:r>
        <w:t>Daraus ist zu schliessen, dass von Personen, die - wie die Beschwerdeführenden - wegen Unzumutbarkeit des Wegweisungsvollzugs nach Art. 83 Abs. 1 i.V.m. Abs. 4 AuG vorläufig aufgenommen wurden, eine solche Kontaktnahme im Hinblick auf die Beschaffung von Reisedokumenten grundsätzlich verlangt werden darf. Die Beschwerdeführenden machen zwar geltend, eine Kontaktaufnahme wäre für sie, da sie hierzulande um Asyl ersucht hätten bzw. aus politischen Gründen, gefährlich. Dieser Argumentation kann jedoch nicht gefolgt werden, wurden ihre Verfolgungsgründe im Asylverfahren doch als unglaubhaft eingestuft. Soweit Mitarbeitenden der afghanischen Botschaft sodann vorgeworfen wird, Geld zu nehmen, sind die diesbezüglichen Ausführungen zum einen viel zu unklar und unspezifiziert, zum anderen lassen es die Betroffenen bei blossen Behauptungen bewenden. Subjektive Empfindlichkeiten können im Übrigen nicht als Hindernis anerkannt werden. Es fehlt daher an objektiven Gründen für die Annahme der Unzumutbarkeit nach Art. 6 Abs. 1 Bst. a RDV. Aus den Akten ergeben sich des Weiteren keine Hinweise, dass die Beschwerdeführenden sich konkret um die Ausstellung heimatlicher Reisepapiere bemüht haben. Im Gegenteil scheinen sie hierzu gar nicht gewillt (in diesem Sinne vgl. etwa das Begleitschreiben der Asylhilfe Bern vom 25. März 2010 zum ersten Gesuch, aber auch die Stellungnahme der Beschwerdeführenden vom 15. Juni 2011 oder die Beschwerdeverbesserung vom 12. Juli 2011). Allfällige technisch oder organisatorisch bedingte Verzögerungen bei der Passausstellung wiederum wären - wie die Vorinstanz in ihrer Verfügung zu Recht festgehalten hat - nicht geeignet, eine Unmöglichkeit im Sinne von Art. 6 Abs. 1 Bst. b RDV zu begründen. Die Beschwerdeführenden haben die bestehenden Möglichkeiten zum Erhalt eines heimatlichen Reisepasses mithin nicht ausgeschöpft, sondern bislang keine ernsthaften Anstalten getroffen, davon überhaupt Gebrauch zu machen. Bei dieser Sachlage kann auch nicht davon ausgegangen werden, dass die Beschaffung von Reisedokumenten für sie unmöglich im Sinne von Art. 6 Abs. 1 Bst. b RDV ist.</w:t>
      </w:r>
    </w:p>
    <w:p>
      <w:r>
        <w:rPr>
          <w:b/>
        </w:rPr>
        <w:t>E. 6.4</w:t>
      </w:r>
    </w:p>
    <w:p>
      <w:r>
        <w:t>In einer E-Mail vom 20. Juni 2011 (als Beilage zur Beschwerdeverbesserung vom 12. Juli 2011) verweist die Rechtsberatungsstelle für Asylsuchende Aargau schliesslich auf den Grundsatz von Treu und Glauben, weil die Beschwerdeführenden die anbegehrten Dokumente für Auslandreisen im Jahre 2010 ja anstandslos erhalten hätten. Der in Art. 9 der Bundesverfassung der Schweizerischen Eidgenossenschaft vom 18. April 1999 (BV, SR 101)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vorbehaltslos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137 I 69 E. 2.5.1 S. 72 f. und BGE 131 II 627 E. 6.1 S. 636 f., je mit weiteren Hinweisen; Urteil des Bundesgerichts 2P.245/2006 vom 6. November 2006 E. 2.3.1 mit Hinweisen). Eine Berufung auf besagten Grundsatz scheitert hier bereits daran, dass sich die Verhältnisse der Familie und damit auch die rechtlichen Voraussetzungen seit der erstmaligen Ausstellung von Reisedokumenten im Jahre 2010 verändert haben, wurden die Asylgesuche der Betroffenen mit Urteil des Bundesverwaltungsgerichts vom 5. April 2011 doch inzwischen rechtskräftig abgewiesen. Angesichts des veränderten Status kann ihnen nun zugemutet werden, sich selber um die Ausstellung heimatlicher Papiere zu bemühen (siehe E. 6.2 und 6.3 hiervor). Von einer Verletzung des Vertrauensgrundsatzes gemäss Art. 9 BV kann vorliegend demnach nicht die Rede sein.</w:t>
      </w:r>
    </w:p>
    <w:p>
      <w:r>
        <w:rPr>
          <w:b/>
        </w:rPr>
        <w:t>E. 7</w:t>
      </w:r>
    </w:p>
    <w:p>
      <w:r>
        <w:t>Somit ist den Beschwerdeführenden die Beschaffung gültiger heimatlicher Reisedokumente sowohl zumutbar als auch möglich. Sie sind folglich nicht als schriftenlos im Sinne von Art. 6 Abs. 1 RDV zu betrachten.</w:t>
      </w:r>
    </w:p>
    <w:p>
      <w:r>
        <w:rPr>
          <w:b/>
        </w:rPr>
        <w:t>E. 8</w:t>
      </w:r>
    </w:p>
    <w:p>
      <w:r>
        <w:t>Aus diesen Darlegungen folgt, dass die Vorinstanz zu Recht die Schriftenlosigkeit der Beschwerdeführenden verneint und die Ausstellung der Identitätsausweise mit Bewilligung zur Wiedereinreise verweigert hat. Die angefochtene Verfügung erweist sich somit im Lichte von Art. 49 VwVG als rechtmässig und die Beschwerde ist demzufolge abzuweisen.</w:t>
      </w:r>
    </w:p>
    <w:p>
      <w:r>
        <w:rPr>
          <w:b/>
        </w:rPr>
        <w:t>E. 9</w:t>
      </w:r>
    </w:p>
    <w:p>
      <w:r>
        <w:t>Bei diesem Ausgang des Verfahrens sind den Beschwerdeführenden die Verfahrenskosten aufzuerlegen (Art. 63 Abs. 1 VwVG i.V.m. Art. 1, Art. 2 und Art. 3 Bst. b des Reglements vom 21. Februar 2008 über die Kosten und Entschädigungen vor dem Bundesverwaltungsgericht [VGKE, SR 173.320.1]).Dispositiv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