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C-3452/2012 vom 26. August 2013</w:t>
      </w:r>
    </w:p>
    <w:p>
      <w:r>
        <w:t>Bundesverwaltungsgericht, 2013-08-26, IT</w:t>
      </w:r>
    </w:p>
    <w:p>
      <w:r>
        <w:rPr>
          <w:b/>
        </w:rPr>
        <w:t xml:space="preserve">Quelle: </w:t>
      </w:r>
      <w:r>
        <w:t>https://mcp.opencaselaw.ch/entscheid/bvger_C-3452_2012</w:t>
      </w:r>
    </w:p>
    <w:p>
      <w:r>
        <w:t>FR: TAF C-3452/2012 du 26 août 2013</w:t>
      </w:r>
    </w:p>
    <w:p>
      <w:r>
        <w:t>IT: TAF C-3452/2012 del 26 agosto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l'e...e delle condizioni di ottenimento di una rendita d'invalidità svizzera, sono regolate dal diritto interno svizzero (DTF 130 V 253 consid. 2.4).</w:t>
      </w:r>
    </w:p>
    <w:p>
      <w:r>
        <w:rPr>
          <w:b/>
        </w:rPr>
        <w:t>E. 3</w:t>
      </w:r>
    </w:p>
    <w:p>
      <w:r>
        <w:t>Relativamente al diritto applicabile, deve essere ancora precisato che la presente procedura, iniziata il 20 maggio 2006, è retta dalla LAI nel suo tenore corrispondente alla 4a revisione, in vigore dal 1° gennaio 2004, alla 5a revisione, in vigore dal 1° gennaio 2008, e alla 6a revisione, in vigore dal 1° gennaio 2012, secondo il principio per cui le norme applicabili sono quelle in vigore al momento in cui dei fatti giuridicamente rilevanti si sono verificati (ATF 130 V 445 consid. 1.2).</w:t>
      </w:r>
    </w:p>
    <w:p>
      <w:r>
        <w:rPr>
          <w:b/>
        </w:rPr>
        <w:t>E. 4</w:t>
      </w:r>
    </w:p>
    <w:p>
      <w:r>
        <w:t>Il ricorrente contesta la validità formale della decisione dell'UAIE, rilevando che egli non ha avuto accesso ai documenti medici acquisiti dall'amministrazione quali complemento istruttorio ordinato dalla sentenza di questo Tribunale del 27 maggio 2009.</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(cfr. DTF 124 II 132 consid. 2b e giurisprudenza ivi citata). Nel quadro della procedura amministrativa il diritto di essere sentito è consacrato dagli art. 26 a 28 (diritto di e...inare gli atti), dagli art. 29 a 33 (diritto di essere sentito stricto sensu) e dall'art. 35 PA (diritto di ottenere una decisione motivata).</w:t>
      </w:r>
    </w:p>
    <w:p>
      <w:r>
        <w:rPr>
          <w:b/>
        </w:rPr>
        <w:t>E. 5.2</w:t>
      </w:r>
    </w:p>
    <w:p>
      <w:r>
        <w:t>La giurisprudenza ha dedotto dal diritto di essere sentito, definito dalle norme speciali di procedura (quali l'art. 35 PA) l'obbligo per l'autorità di motivare la sua decisione, così da permettere ai destinatari ed a tutte le persone interessate di comprenderla, di impugnarla ed in modo da rendere possibile all'autorità di ricorso adita di esercitare convenientemente il suo controllo (DTF 129 I 232 consid. 3.2; DTF 126 I 97 consid. 2b; DTF 122 IV 8 consid. 2c, DTF 112 Ia 107 consid. 2b; cfr. inoltre la sentenza del Tribunale federale 2A.496/2006/ 2A.497/2006 del 15 ottobre 2007 consid. 5.1.1). Si è in presenza di una violazione del diritto di essere sentito se l'autorità non soddisfa al suo obbligo di e...inare e di trattare i problemi pertinenti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del Tribunale federale 2A.496/2006 / 2A.497/2006 precitata). Sebbene la motivazione debba fare emergere le riflessioni dell'autorità in merito agli elementi (di fatto o di diritto) essenziali che hanno influenzato la decisione, l'autorità non è comunque tenuta a pronunciarsi su tutti i fatti, argomentazioni e mezzi di prova invocati dalle parti, ma può limitarsi a quelli che, senza arbitrio, le sembrano decisivi per la risoluzione della causa (DTF 126 I 97 consid. 2b; DTF 112 Ia 107 consid. 2b). È sufficiente che l'amministrazione indichi brevemente i motivi della decisione e quali sono gli elementi alla base di quest'ultima (DTF 124 V 180, consid. 1a, confermato nella sentenza del Tribunale federale, del 9 maggio 2000, in re I., ed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favorevole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DTF 130 II 530 consid. 7.3; DTF 126 V 130 consid. 2b; DTF 124 V 389 consid. 5a e 180 consid. 4a). In concreto è assodato che il ricorrente non ha avuto accesso immediato ai documenti medici 64, 99, 108 e 118, alla base del progetto di decisione del 14 febbraio 2012 (doc. 120) e della decisione impugnata del 23 maggio 2012 (doc. 121, 122, 124 e 125). Il ricorrente non si è opposto al progetto di decisione, per motivi non eruibili, ed è solo con la sua impugnativa che ha censurato il fatto che non gli sia stata trasmessa una "copia degli accertamenti medici eseguiti dopo la sentenza del 2009", argomentando cionondimeno quanto necessario e riservandosi il diritto di "meglio dedurre allorquando si avranno a disposizione i rapporti medici richiamati dall'UAIE nella sua decisione". I documenti medici 64, 99, 108 e 118, con in più i documenti 128 e 130, redatti nel quadro della presente procedura, sono stati trasmessi, con una copia della risposta dell'UAIE, al ricorrente da questo Tribunale mediante ordinanza del 21 novembre 2012. Pur ammettendo che il ricorrente abbia avuto accesso ai documenti 64, 99, 108 e 118 con un certo ritardo, bisogna rilevare che egli non solo non si è opposto al progetto di decisione del 14 febbraio 2012, non esigendo quindi di visionare i documenti menzionati, ma non ha nemmeno esibito alcuna replica e non si è così pronunciato sugli stessi, limitandosi, con il suo scritto del 4 febbraio 2013, a chiedere di essere esentato dal pagamento delle spese processuali di Fr. 400.-. Date queste circostanze, questo Tribunale deve concludere che la censura del ricorrente in ordine alla violazione del suo diritto di essere sentito deve essere respinta.</w:t>
      </w:r>
    </w:p>
    <w:p>
      <w:r>
        <w:rPr>
          <w:b/>
        </w:rPr>
        <w:t>E. 6</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20 gennaio 2006. Questo Tribunale può quindi limitarsi ad e...inare se il ricorrente avesse diritto ad una rendita il 20 gennaio 2005 (ossia dodici mesi precedenti la presentazione della domanda), oppure se un diritto alla rendita sia sorto tra tale data e il 23 maggio 2012,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7</w:t>
      </w:r>
    </w:p>
    <w:p>
      <w:r>
        <w:t>Secondo le norme applicabili, per avere diritto ad una rendita dell'assicurazione per l'invalidità svizzera, un cittadino italiano deve, cumulativamente, essere invalido ai sensi della legge svizzera ed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In concreto è pacifico che il ricorrente adempie la condizione della durata minima di contribuzione, alla quale la legge subordina l'erogazione di una rendita. Rimane ora da e...inare se sia invalido ai sensi di legge.</w:t>
      </w:r>
    </w:p>
    <w:p>
      <w:r>
        <w:rPr>
          <w:b/>
        </w:rPr>
        <w:t>E. 8.1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9.1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9.2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9.3</w:t>
      </w:r>
    </w:p>
    <w:p>
      <w:r>
        <w:t>Assegnando retroattivamente una rendita d'invalidità decrescente, crescente 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10</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il danno invalidante e quali lavori siano ancora ragionevolmente esigibili dall'assicurato, ma non spetta al medico graduare l'invalidità dell'assicurato (DTF 115 V 134 consid. 2 e 114 V 314). In concreto, come risulta dal questionario per l'assicurato (doc. 96), il ricorrente non ha più svolto alcun tipo di lavoro dopo il 28 gennaio 1992, dimodoché è necessario riferirsi alla documentazione medica non solo per stabilire il danno alla sua salute, ma anche per sapere quali attività professionali sono ancora da lui esigibili e in che misura (capacità lavorativa residua).</w:t>
      </w:r>
    </w:p>
    <w:p>
      <w:r>
        <w:rPr>
          <w:b/>
        </w:rPr>
        <w:t>E. 11</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e...ini in maniera completa i punti litigiosi, si fondi su degli e...i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12</w:t>
      </w:r>
    </w:p>
    <w:p>
      <w:r>
        <w:t>In concreto occorre innanzitutto sottolineare che il ricorrente non è stato sottoposto alla perizia pluridisciplinare psichiatrica, neurologica, ortopedica, ematologica e onco-urologica che aveva ordinato questo Tribunale nella sentenza del 27 maggio 2009 (doc. 37, pag. 13). L'UAIE aveva in un primo tempo incaricato dell'esecuzione di questa perizia il ... di ..., poi vi aveva rinunciato per i motivi di salute fatti valere dal ricorrente, motivi che la dott.ssa C._______ aveva ritenuto potere giustificare l'impossibilità di venire in Svizzera per sottoporsi alla perizia. Ciò precisato, dalla documentazione medica all'incarto ottenuta nell'ambito del complemento istruttorio effettuato dall'UAIE e, in particolare, dalle perizie particolareggiate E 213 del dott. E._______, medico dell'INPS, del 5 aprile e 20 settembre 2011 (doc. 63 e 107), dai referti di visite neurologica e psichiatrica del Prof. F._______, neuropsichiatra, del 28 gennaio e 25 luglio 2011 (doc. 64 e 108), dalla relazione tecnica d'ufficio del dott. I._______, chirurgo e specialista in medicina legale, discussa davanti alla Corte d'appello di ... il 14 febbraio 2011, e dalle prese di posizione delle dott.sse H._______, psichiatra, e C._______, internista e oncologa, entrambe medici dell'UAIE, del 26 gennaio, 10 ottobre e 7 novembre 2012 (doc. 118, 128 e 130), è possibile ricostruire la diagnosi psichiatrica di disturbo depressivo grave e di disturbo ansioso depressivo reattivo leggero. Dal punto di vista somatico, gli elementi diagnostici identificabili sono, sostanzialmente, una piastrinopenia, un'ipoacusia media, una sindrome dispeptica in pregressa gastroresezione, una sindrome cefalalgico-vertiginosa in sospetta cervicoartrosi e in artrosi lombare, nonché riferiti disturbi urinari in esiti per carcinoma papillare della vescica.</w:t>
      </w:r>
    </w:p>
    <w:p>
      <w:r>
        <w:rPr>
          <w:b/>
        </w:rPr>
        <w:t>E. 13.1</w:t>
      </w:r>
    </w:p>
    <w:p>
      <w:r>
        <w:t>Rispetto alle conseguenze invalidanti delle affezioni diagnosticate, il dott. E._______ ha fissato, nelle sue perizie E 213 del 5 aprile e 20 settembre 2011, secondo criteri propri del diritto italiano, un grado d'invalidità del 70% per qualsiasi attività lavorativa, e ciò nonostante il fatto che abbia nello stesso tempo rilevato come il ricorrente sia in grado di svolgere regolarmente lavori leggeri senza alcuna controindicazione di sorta. Anche il dott. I._______ ha calcolato, nella sua relazione tecnica d'ufficio, un grado d'invalidità, sulla base di valori percentuali relativi ad ogni elemento diagnostico da lui ritenuto, considerati globalmente, pari all'87%. Il dott. D._______, chirurgo, aveva addirittura stimato, nella sua relazione medico-legale del 25 settembre 2008 (doc. 62/1 a 14), una riduzione permanente della capacità lavorativa del 100%.</w:t>
      </w:r>
    </w:p>
    <w:p>
      <w:r>
        <w:rPr>
          <w:b/>
        </w:rPr>
        <w:t>E. 13.2</w:t>
      </w:r>
    </w:p>
    <w:p>
      <w:r>
        <w:t>La dott.ssa H._______ ha constatato dal punto di vista psichiatrico, nelle sue prese di posizione del 26 gennaio e 15 ottobre 2012, che l'incapacità lavorativa del ricorrente nell'attività abituale è stata pari al 70%, per il disturbo depressivo grave sviluppatosi probabilmente in reazione alla patologia tumorale, dal 10 luglio 2008, ma che deve essere considerata pari allo 0% dal 28 gennaio 2011, il detto disturbo essendo infatti evoluto in modo favorevole grazie al trattamento psicotropo dispensato. Dal canto suo, la dott.ssa C._______ ha confermato, nella sua presa di posizione del 7 novembre 2012, riferendosi alla sua prima valutazione del 23 giugno 2011 (doc. 99), l'assenza di qualsiasi patologia somatica invalidante, dopodiché ha passato in rivista, e brevemente commentato, tutti gli elementi diagnostici elencati nella relazione tecnica d'ufficio del dott. I._______, qualificandoli, per la più parte, di minore entità e non recidivanti o in remissione. In particolare, la dott.ssa C._______ ha osservato che i disturbi degenerativi sotto forma di spondilodiscoartrosi sono da mettere in relazione con l'età del ricorrente e non sono invalidanti, la gastroduodenostomia risale agli anni Ottanta, non ha occasionato recidive e non ha avuto ripercussioni sulla capacità lavorativa, il pregresso carcinoma vescicale, senza recidive, non ha necessitato di trattamenti più radicali. Per quanto concerne inoltre la porpora trombocitopenia, il medico dell'UAIE ha specificato che si tratta di un'affezione auto-immune che non ha registrato alcuna evoluzione sfavorevole da più di venti anni e non ha occasionato alcuna complicazione.</w:t>
      </w:r>
    </w:p>
    <w:p>
      <w:r>
        <w:rPr>
          <w:b/>
        </w:rPr>
        <w:t>E. 13.3</w:t>
      </w:r>
    </w:p>
    <w:p>
      <w:r>
        <w:t>Visto quanto procede, questo Tribunale può constatare, secondo un grado di verosimiglianza preponderante, che, seguendo la valutazione della dott.ssa H._______, l'incapacità lavorativa del ricorrente, per la sua attività abituale, è stata pari, dal punto di vista psichiatrico, al 70% dal 10 luglio 2008 ed è pari allo 0% dal 28 gennaio 2011, data del primo rapporto stilato dal Prof. F._______, mentre che, sul piano somatico, come riferito dalla dott.ssa C._______, non è mai sussistita e non sussiste alcuna patologia invalidante.</w:t>
      </w:r>
    </w:p>
    <w:p>
      <w:r>
        <w:rPr>
          <w:b/>
        </w:rPr>
        <w:t>E. 14</w:t>
      </w:r>
    </w:p>
    <w:p>
      <w:r>
        <w:t>Di conseguenza, a giusto titolo l'UAIE ha accordato al ricorrente una rendita limitata nel tempo, per il periodo dal 1° luglio 2009 al 30 aprile 2011 (art. 28 cpv. 1 lett. b e c LAI, in vigore dal 1° gennaio 2008, e 88a cpv. 1 OAI), dimodoché la decisione dell'UAIE del 23 maggio 2012 deve essere confermata e il ricorso respinto.</w:t>
      </w:r>
    </w:p>
    <w:p>
      <w:r>
        <w:rPr>
          <w:b/>
        </w:rPr>
        <w:t>E. 15</w:t>
      </w:r>
    </w:p>
    <w:p>
      <w:r>
        <w:t>Il ricorrente ha chiesto di essere posto al beneficio dell'assistenza giudiziaria per quanto attiene alle spese di procedura.</w:t>
      </w:r>
    </w:p>
    <w:p>
      <w:r>
        <w:rPr>
          <w:b/>
        </w:rPr>
        <w:t>E. 15.1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(indigenza) e se le sue conclusioni non sembrano dover avere esito sfavorevole (DTF 125 V 202 consid. 4a, 372 consid. 5b e riferimenti, sentenza della II Corte di diritto pubblico del Tribunale federale I 134/06 del 7 maggio 2007).</w:t>
      </w:r>
    </w:p>
    <w:p>
      <w:r>
        <w:rPr>
          <w:b/>
        </w:rPr>
        <w:t>E. 15.2</w:t>
      </w:r>
    </w:p>
    <w:p>
      <w:r>
        <w:t>L'indigenza sussiste quando il richiedente non riesce ad ottenere, sull'arco di diversi mesi e deducendo le spese necessarie al suo sostentamento e a quello della sua famiglia, i mezzi finanziari necessari per condurre la procedura (JAAC 64.28 cons. 2b), ciò che si determina considerando le sue risorse, come pure, se del caso, quelle delle persone che hanno nei suoi riguardi un obbligo di mantenimento (DTF 119 Ia 11 cons. 3a).</w:t>
      </w:r>
    </w:p>
    <w:p>
      <w:r>
        <w:rPr>
          <w:b/>
        </w:rPr>
        <w:t>E. 15.3</w:t>
      </w:r>
    </w:p>
    <w:p>
      <w:r>
        <w:t>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(DTF 125 II 275 e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w:t>
      </w:r>
    </w:p>
    <w:p>
      <w:r>
        <w:rPr>
          <w:b/>
        </w:rPr>
        <w:t>E. 15.4</w:t>
      </w:r>
    </w:p>
    <w:p>
      <w:r>
        <w:t>In concreto, visti i dati forniti dal ricorrente per il tramite del formulario relativo alla domanda di gratuito patrocinio, del 13 marzo 2013, la richiesta di esenzione dal pagamento delle spese processuali deve essere accolta.</w:t>
      </w:r>
    </w:p>
    <w:p>
      <w:r>
        <w:rPr>
          <w:b/>
        </w:rPr>
        <w:t>E. 16</w:t>
      </w:r>
    </w:p>
    <w:p>
      <w:r>
        <w:t>In conformità con l'art. 64 cpv. 1 PA, l'autorità di ricorso, se ammette il ricorso in tutto o in parte, può assegnare al ricorrente una indennità per le spese indispensabili e relativamente elevate che ha sopportato (spese ripetibili). Tenuto conto dell'esito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