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C-3452/2010 vom 12. Dezember 2011</w:t>
      </w:r>
    </w:p>
    <w:p>
      <w:r>
        <w:t>Bundesverwaltungsgericht, 2011-12-12, FR</w:t>
      </w:r>
    </w:p>
    <w:p>
      <w:r>
        <w:rPr>
          <w:b/>
        </w:rPr>
        <w:t xml:space="preserve">Quelle: </w:t>
      </w:r>
      <w:r>
        <w:t>https://mcp.opencaselaw.ch/entscheid/bvger_C-3452_2010</w:t>
      </w:r>
    </w:p>
    <w:p>
      <w:r>
        <w:t>FR: TAF C-3452/2010 du 12 décembre 2011</w:t>
      </w:r>
    </w:p>
    <w:p>
      <w:r>
        <w:t>IT: TAF C-3452/2010 del 12 dicembre 2011</w:t>
      </w:r>
    </w:p>
    <w:p>
      <w:pPr>
        <w:pStyle w:val="Heading2"/>
      </w:pPr>
      <w:r>
        <w:t>Regeste</w:t>
      </w:r>
    </w:p>
    <w:p>
      <w:r>
        <w:t>Révision de la rente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respectivement la révision ou la reconsidération,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w:t>
      </w:r>
    </w:p>
    <w:p>
      <w:r>
        <w:rPr>
          <w:b/>
        </w:rPr>
        <w:t>E. 3.1</w:t>
      </w:r>
    </w:p>
    <w:p>
      <w:r>
        <w:t>L'Accord entre la Suisse et la Communauté européenne et ses États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l'ALCP,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2008, sauf mention contraire. En ce qui concerne les faits déterminants, selon la jurisprudence, le Tribunal de céans doit se limiter à examiner la situation de fait existant jusqu'à la date de la décision attaquée (ATF 130 V 445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 au moins, à une demi-rente s'il est invalide à 50% au moins, à trois quarts de rente s'il est invalide à 60 % au moins et à une rente entière s'il est invalide à 70 % au moins. Toutefois, les rentes correspondant à un degré d'invalidité inférieur à 50 % ne sont versées qu'aux assurés qui ont leur domicile et leur résidence habituelle en Suisse (art. 29 al. 4 LAI). Depuis l'entrée en vigueur des Accords sur la libre circulation des personnes, les ressortissants d'un Etat de la Communauté européenne qui présentent un degré d'invalidité de 40 % au moins, ont droit à un quart de rente en application de l'art. 28 al. 2 LAI s'ils ont leur domicile et leur résidence habituelle dans un Etat membre.</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disposition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op. cit., p. 133 ss). La réglementation sur la révision ne saurait en effet constituer un fondement juridique à un réexamen sans condition du droit à la rente (Rudolf Rüedi, op. cit., p. 15). 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7.4</w:t>
      </w:r>
    </w:p>
    <w:p>
      <w:r>
        <w:t>En l'espèce, la recourante a bénéficié d'une demi-rente dès le 1er octobre 1998 ensuite de la décision de l'OAIE du 18 février 1999, qui a été reconduite par communications des 1er novembre 2001 et 7 juillet 2005, les deux fois sans qu'il soit procédé à un examen matériel approfondi. Ainsi, la question de savoir si le degré d'invalidité de la recourante a subi une modification doit donc être jugée en comparant les faits tels qu'ils se présentaient le 18 février 1999 et ceux qui ont existé à la date de la décision litigieuse du 16 avril 2010.</w:t>
      </w:r>
    </w:p>
    <w:p>
      <w:r>
        <w:rPr>
          <w:b/>
        </w:rPr>
        <w:t>E. 8.1</w:t>
      </w:r>
    </w:p>
    <w:p>
      <w:r>
        <w:t>Le Tribunal fédéral s'est exprimé sur les conditions auxquelles des troubles somatoformes douloureux persistants - auxquels la fibromyalgie peut être assimilée (arrêt P. du 10 mars 2003, I 721/02) - peuvent présenter un caractère invalidant (ATF 130 V 352; Arrêt du Tribunal fédéral I 870/02 du 21 avril 2004 consid. 3.3.1 et I 515/03 du 15 septembre 2004 consid. 3.3.1 et 3.3.2 et les références citées; voir ég. Jean Pirrotta, Les troubles somatoformes douloureux du point de vue de l'assurance-invalidité in: Revue suisse des assurances sociales et de la prévoyance professionnelle [RSAS] 2005 p. 517, 523 ss). Il s'agit d'une affection reconnue par l'Organisation mondiale de la santé sous le nom de « syndrome douloureux somatoforme persistant », caractérisée par « une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patient » (OMS, CIM-10: F45.4). Le trouble somatoforme douloureux se définit en termes de discrépance entre la subjectivité du patient qui éprouve une douleur préoccupante et l'objectivité médicale qui ne permet pas de détecter ce que l'on s'attend à trouver en pareil cas sur la base des savoirs acquis et des techniques à disposition permettant de mesurer et objectiver les symptômes (cf. Pirrotta, op. cit., p. 524).</w:t>
      </w:r>
    </w:p>
    <w:p>
      <w:r>
        <w:rPr>
          <w:b/>
        </w:rPr>
        <w:t>E. 8.2</w:t>
      </w:r>
    </w:p>
    <w:p>
      <w:r>
        <w:t>Selon la jurisprudence, des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Au demeurant, par exemple,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il serait enfreint à l'égalité de traitement entre les assurés.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Pirrotta in: RSAS 2005 p. 525).</w:t>
      </w:r>
    </w:p>
    <w:p>
      <w:r>
        <w:rPr>
          <w:b/>
        </w:rPr>
        <w:t>E. 8.3</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132 V 65 consid. 4.2.2, 131 V 50, 130 V 354; Pirrotta, op. cit., 525 s.). Tel est le cas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d'intenses douleurs mal définies et qu'il y a notamment absence de demande de soins, grandes divergences entre les informations fournies par le patient et celles ressortant de l'anamnèse, un environnement psychosocial intact (cf. ATF 132 V 65 consid. 4.2).</w:t>
      </w:r>
    </w:p>
    <w:p>
      <w:r>
        <w:rPr>
          <w:b/>
        </w:rPr>
        <w:t>E. 9</w:t>
      </w:r>
    </w:p>
    <w:p>
      <w:r>
        <w:t>Il ressort des actes de la cause qu'initialement une demi-rente d'invalidité avait été octroyée pour cause de fibromyalgie et d'un état dépressif.</w:t>
      </w:r>
    </w:p>
    <w:p>
      <w:r>
        <w:rPr>
          <w:b/>
        </w:rPr>
        <w:t>E. 9.1</w:t>
      </w:r>
    </w:p>
    <w:p>
      <w:r>
        <w:t>En effet, le Dr I._______, médecin généraliste, en février 1998 (pce 4) avait indiqué une probable dépression masquée, avait considéré souhaitable un avis psychiatrique et avait relevé qu'à l'examen clinique, la mobilité du rachis cervical, dorsal et lombaire était conservée et harmonieuse, douloureuse en fin de mouvement, la mobilité des articulations périphériques est complète et toutes les articulations sont calmes, la présence de 14 points de fibromyalgie permettait de retenir le diagnostic de fibromyalgie, les autres symptômes qui y sont souvent associés comme les céphalées, les troubles du sommeil, les troubles du transit, une fatigabilité ainsi qu'une thymie dépressive étant présentes. La Dresse B._______, rhumatologue, dans son expertise du 3 juillet 1999 (pce 8), indiquait que la recourante avait développé un état dépressif pour lequel elle avait été traitée par antidépresseurs et posait le diagnostic d'état dépressif. Elle avait considéré que la fibromyalgie ne constituait pas une contre-indication quant à l'activité professionnelle exercée par l'assurée, toutefois, en tenant compte de l'état dépressif concomitant ainsi que de l'extension progressive et de la longue évolutivité des plaintes douloureuses, il était difficilement envisageable et exigible de la part de l'assurée qu'elle assume une activité à 100 %. Toutefois, le maintien d'une activité à 50 % avec un rendement complet sur la demi-journée aurait dû permettre à l'assurée de garder une activité professionnelle à long terme. L'OAI-VD avait donc retenu l'état dépressif comme diagnostic ayant répercussion sur la capacité de travail. Lors de la deuxième révision, le médecin de l'ISS, dans son rapport E 213 du 29 novembre 2004 avait indiqué que l'état mental et émotionnel de la recourante était normal. Le Dr E._______ avait toutefois confirmé l'état dépressif. Au cours de la révision en examen, le médecin de l'OAIE a demandé la production d'un rapport psychiatrique à l'ISS. Celui-ci n'a transmis qu'un nouveau rapport E 213 du 29 mai 2009, qui précisait que l'état mental et émotionnel de l'assurée était normal et que la patiente elle-même se sentait bien et affirmait ne pas souffrir de maladie psychiatrique, une consultation en psychiatrie apparaissant dès lors inutile. Le médecin de l'OAIE a donc conclu que la recourante ne souffrait plus d'aucune pathologie psychiatrique, que son état de santé s'était amélioré et qu'elle pouvait reprendre à 100 % son activité habituelle dès le 29 mai 2009. La documentation exhibée par la suite, en particulier le rapport E 213 du 23 novembre 2009, ne permettant pas de modifier les conclusions puisqu'elle confirme la présence d'une fibromyalgie sans comorbidité psychiatrique. En outre, en ce qui concerne les rapports médicaux produits avec le recours, bien que le médecin de l'OAIE admette la présence d'une ostéopénie et d'une ostéoporose, il relève toutefois que ces affections n'ont aucune incidence sur la capacité de travail, elles nécessitent cependant un suivi thérapeutique. Vu ce qui précède, il appert que l'état de santé de l'assurée a connu une amélioration notable sur le plan psychiatrique. Cette constatation revêt une importance considérable vu qu'il ressort clairement des pièces au dossier que le diagnostic psychiatrique avait joué un rôle déterminant lors de l'octroi initial de la demi-rente (cf. consid. 9.1). Le Tribunal de céans peut donc conclure que l'état de santé de l'assurée s'est amélioré de façon significative et que, par conséquent, elle présente dès le 29 mai 2009 une capacité de travail entière dans sa dernière activité en tant qu'aide de cuisine. Dans ce contexte, il appert que l'autorité inférieure a implicitement procédé à une évaluation de l'invalidité en pour-cent ("Prozentvergleich") pour nier la présence d'un taux d'invalidité ouvrant le droit à une rente (cf. à ce sujet arrêt du Tribunal fédéral 9C_100/2010 du 23 mars 2010). Cela étant, même en effectuant une comparaison des revenus plus favorable à la recourante, force est de constater que l'assurée n'atteindrait manifestement pas un taux suffisant pour ouvrir le droit à une rente. Ainsi, le salaire de valide devrait être déterminé en actualisant le revenu mensuel obtenu par la recourante en 1997 de Fr. 4'062.--, selon les déclarations de l'employeur (pce 3) à l'année 2009 (Evolution des salaires nominaux, des prix à la consommation et des salaires réels, OFS, 1997 = 2130, 2009 = 2552), ce qui donne un montant de Fr. 4'867.--, respectivement Fr. 5'272-- si on tient compte du 13ème salaire. Le revenu d'invalide serait quant à lui fixé sur la base des données de l'enquête suisse sur la structure des salaires, tableau TA1 (cf. arrêts du Tribunal fédéral 9C_100/2010 du 23 mars 2010 consid. 2.3.1; I 232/06 du 25 octobre 2004 consid. 4 et arrêt du Tribunal administratif fédéral C-3300/2008 consid. 12.1) et correspondrait au revenu moyen d'une salariée en 2008 pour des activités simples et répétitives, tout secteur confondu (Fr. 4'116.- pour 40 h./sem.) en tenant compte d'un horaire usuel de travail de 41.7 h./sem. en 2009 et d'une augmentation des salaires de 2.1% en 2009, à savoir Fr. 4'381.--. La comparaison du revenu de valide de Fr. 5'272.-- au revenu d'invalide de Fr. 4'381.-- fait ainsi apparaître un taux d'invalidité de 17 % [(5'272 - 4'381) x 100 : 5'272], insuffisant pour ouvrir le droit à une rente.</w:t>
      </w:r>
    </w:p>
    <w:p>
      <w:r>
        <w:rPr>
          <w:b/>
        </w:rPr>
        <w:t>E. 10</w:t>
      </w:r>
    </w:p>
    <w:p>
      <w:r>
        <w:t>Il est en outre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1989 p. 325 consid. 2b, 1982 p. 34 consid. 2c).</w:t>
      </w:r>
    </w:p>
    <w:p>
      <w:r>
        <w:rPr>
          <w:b/>
        </w:rPr>
        <w:t>E. 11</w:t>
      </w:r>
    </w:p>
    <w:p>
      <w:r>
        <w:t>Eu égard à ce qui précède, c'est donc à juste titre que la demi-rente d'invalidité a été supprimée dès le 1er juin 2010, conformément à l'art. 88bis al. 2 let. a RAI. Par conséquent, le recours doit être rejeté et la décision attaquée confirmée.</w:t>
      </w:r>
    </w:p>
    <w:p>
      <w:r>
        <w:rPr>
          <w:b/>
        </w:rPr>
        <w:t>E. 12.1</w:t>
      </w:r>
    </w:p>
    <w:p>
      <w:r>
        <w:t>Vu l'issue de la cause, les frais de procédure, fixés par le Tribunal de céans à Fr. 300.--,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12.2</w:t>
      </w:r>
    </w:p>
    <w:p>
      <w:r>
        <w:t>Il n'est pas alloué de dépens (art. 64 al. 1PA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