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C-3451/2012 vom 12. Juli 2013</w:t>
      </w:r>
    </w:p>
    <w:p>
      <w:r>
        <w:t>Bundesverwaltungsgericht, 2013-07-12, FR</w:t>
      </w:r>
    </w:p>
    <w:p>
      <w:r>
        <w:rPr>
          <w:b/>
        </w:rPr>
        <w:t xml:space="preserve">Quelle: </w:t>
      </w:r>
      <w:r>
        <w:t>https://mcp.opencaselaw.ch/entscheid/bvger_C-3451_2012</w:t>
      </w:r>
    </w:p>
    <w:p>
      <w:r>
        <w:t>FR: TAF C-3451/2012 du 12 juillet 2013</w:t>
      </w:r>
    </w:p>
    <w:p>
      <w:r>
        <w:t>IT: TAF C-3451/2012 del 12 luglio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déposés en temps utile et dans les formes requises par la loi (art. 60 LPGA et art.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3e éd., Berne 2011, ch. 2.2.6.5, pp.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édition, Zurich 1998 n. 677).</w:t>
      </w:r>
    </w:p>
    <w:p>
      <w:r>
        <w:rPr>
          <w:b/>
        </w:rPr>
        <w:t>E. 3.1</w:t>
      </w:r>
    </w:p>
    <w:p>
      <w:r>
        <w:t>La recourante, de nationalité espagnole,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(CEE) n° 1408/71; ATF 130 V 253 consid. 2.4), étant précisé que la documentation médicale et administrative fournie par les institutions de sécurité sociale d'un autre Etat membre doit être prise en considération (art. 40 du règlement (CEE) n° 574/72 du Conseil du 21 mars 1972 fixant les modalités d'application du règlement (CEE) n° 1408/71 [RS 0.831.109.268.11]).</w:t>
      </w:r>
    </w:p>
    <w:p>
      <w:r>
        <w:rPr>
          <w:b/>
        </w:rPr>
        <w:t>E. 4</w:t>
      </w:r>
    </w:p>
    <w:p>
      <w:r>
        <w:t>Eu égard au principe selon lequel les règles applicables sont celles en vigueur au moment où les faits juridiquement déterminants se sont produits (ATF 130 V 445 consid. 1.2), la présente procédure est régie par les nouvelles dispositions de la 6e révision de la LAI (premier volet) en vigueur dès le 1er janvier 2012.</w:t>
      </w:r>
    </w:p>
    <w:p>
      <w:r>
        <w:rPr>
          <w:b/>
        </w:rPr>
        <w:t>E. 5</w:t>
      </w:r>
    </w:p>
    <w:p>
      <w:r>
        <w:t>En l'espèce est litigieuse la question de savoir si l'autorité intimée était fondée à refuser d'entrer en matière sur la nouvelle demande de rente d'assurance-invalidité du 12 septembre 2011, après avoir refusé la première demande de la recourante du 22 janvier 2007 par décision du 5 mars 2009.</w:t>
      </w:r>
    </w:p>
    <w:p>
      <w:r>
        <w:rPr>
          <w:b/>
        </w:rPr>
        <w:t>E. 5.1</w:t>
      </w:r>
    </w:p>
    <w:p>
      <w:r>
        <w:t>Lorsque l'autorité examine une nouvelle demande de la personne assurée après un premier refus de prestations, elle n'entrera en matière que s'il apparaît établi de façon plausible que l'invalidité s'est modifiée de manière à influencer ses droits (art. 87 al. 3 et 4 du Règlement sur l'assurance-invalidité, RAI, RS 831.201).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déterminante (ATF 125 V 410 consid. 2b, VSI 2000 242).</w:t>
      </w:r>
    </w:p>
    <w:p>
      <w:r>
        <w:rPr>
          <w:b/>
        </w:rPr>
        <w:t>E. 5.2</w:t>
      </w:r>
    </w:p>
    <w:p>
      <w:r>
        <w:t>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 ce qu'elle n'a pas fait en l'espèce - elle doit instruire la cause et déterminer si la modification du degré d'invalidité rendue plausible par l'assuré s'est effectivement produite (ATF 130 V 71 consid. 2.2).</w:t>
      </w:r>
    </w:p>
    <w:p>
      <w:r>
        <w:rPr>
          <w:b/>
        </w:rPr>
        <w:t>E. 5.3</w:t>
      </w:r>
    </w:p>
    <w:p>
      <w:r>
        <w:t>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(ATF 109 V 114 consid. 2b; arrêt du Tribunal fédéral I 597/05 du 8 janvier 2007).</w:t>
      </w:r>
    </w:p>
    <w:p>
      <w:r>
        <w:rPr>
          <w:b/>
        </w:rPr>
        <w:t>E. 5.4</w:t>
      </w:r>
    </w:p>
    <w:p>
      <w:r>
        <w:t>Dans un arrêt 8C_844/2012 du 5 juin 2013, le Tribunal fédéral a tout récemment confirmé sa jurisprudence en matière de plausibilité d'une modification de l'invalidité lors d'une nouvelle demande après un rejet de prestations.</w:t>
      </w:r>
    </w:p>
    <w:p>
      <w:r>
        <w:rPr>
          <w:b/>
        </w:rPr>
        <w:t>E. 6.1</w:t>
      </w:r>
    </w:p>
    <w:p>
      <w:r>
        <w:t>La recourante apporte à l'appui de sa nouvelle demande de prestations de l'assurance-invalidité - déposée deux ans et demi après le rejet de sa première demande - diverses pièces médicales qui reprennent les diagnostics déjà connus lors du rejet de prestations du 5 mars 2009 ou mentionnent des maladies bénignes dont l'assurée s'est remise entre temps. Or, force est au Tribunal de constater que tous ces rapports ne rendent pas plausible une aggravation de l'état de santé de la recourante ou des éléments nouveaux.</w:t>
      </w:r>
    </w:p>
    <w:p>
      <w:r>
        <w:rPr>
          <w:b/>
        </w:rPr>
        <w:t>E. 6.2</w:t>
      </w:r>
    </w:p>
    <w:p>
      <w:r>
        <w:t>Au vu de ce qui précède, le Tribunal, à l'instar du service médical de l'OAIE, qui a constaté dans son rapport du 7 mars 2012 que les diagnostics, le tableau clinique et les légères limitations étaient restées les mêmes depuis le rejet de prestations et qu'il n'y avait pas de raisons médicales pour un changement du droit aux prestations de l'AI de l'assurée (AI pce 59), retient que la recourante n'a pas pu établir de façon plausible une aggravation de son état de santé, selon le degré de preuve exigé par la jurisprudence (cf. consid. 5).</w:t>
      </w:r>
    </w:p>
    <w:p>
      <w:r>
        <w:rPr>
          <w:b/>
        </w:rPr>
        <w:t>E. 7</w:t>
      </w:r>
    </w:p>
    <w:p>
      <w:r>
        <w:t>Partant, le recours du 22 septembre 2011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8.1</w:t>
      </w:r>
    </w:p>
    <w:p>
      <w:r>
        <w:t>Les frais de procédure de Fr. 400.50 sont mis à la charge de la recourante (art. 63 al. 1 PA, applicable par le truchement de l'art. 37 LTAF). Ils sont compensés par l'avance de frais déjà fournie les 13 mars et 12 avril 2013 (TAF pces 13 et 18).</w:t>
      </w:r>
    </w:p>
    <w:p>
      <w:r>
        <w:rPr>
          <w:b/>
        </w:rPr>
        <w:t>E. 8.2</w:t>
      </w:r>
    </w:p>
    <w:p>
      <w:r>
        <w:t>Vu l'issue du litige, il n'est pas alloué d'indemnité de dépens (art. 7 al. 1 et 3 du règlement du 21 février 2008 concernant les frais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