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C-344/2014 vom 10. Juli 2017</w:t>
      </w:r>
    </w:p>
    <w:p>
      <w:r>
        <w:t>Bundesverwaltungsgericht, 2017-07-10, FR</w:t>
      </w:r>
    </w:p>
    <w:p>
      <w:r>
        <w:rPr>
          <w:b/>
        </w:rPr>
        <w:t xml:space="preserve">Quelle: </w:t>
      </w:r>
      <w:r>
        <w:t>https://mcp.opencaselaw.ch/entscheid/bvger_C-344_2014</w:t>
      </w:r>
    </w:p>
    <w:p>
      <w:r>
        <w:t>FR: TAF C-344/2014 du 10 juillet 2017</w:t>
      </w:r>
    </w:p>
    <w:p>
      <w:r>
        <w:t>IT: TAF C-344/2014 del 10 luglio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En l'occurrence, la décision litigieuse a été notifiée au recourant le 20 décembre 2013 et le recours, daté du 26 décembre 2013, déposé durant le mois de janvier 2014 (timbre postal partiellement illisible ; pce TAF 1), réceptionné par le Tribunal de céans le 22 janvier 2014, a été manifestement interjeté en temps utile (art. 60 LPGA), dans les formes légales (art. 52 PA), par un administré directement touché par la décision attaquée (art. 59 LPGA), qui s'est de surcroît acquitté de l'avance de frais dans les temps (art. 63 al. 4 PA ; ci-dessus, let. H.b). Partant, le recours est recevable.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2.3</w:t>
      </w:r>
    </w:p>
    <w:p>
      <w:r>
        <w:t>L'art. 29 al. 1 LAI prévoit que le droit à la rente prend naissance au plus tôt à l'échéance d'une période de six mois à compter de la date à laquelle l'assuré a fait valoir son droit aux prestations conformément à l'art. 29 al. 1 LPGA. En l'espèce, le recourant a déposé sa requête de prestations de l'assurance-invalidité le 21 décembre 2012 (ci-dessus, let. B), si bien que le Tribunal peut se limiter à examiner si le recourant avait droit à une rente le 1er juin 2013 (soit six mois après le dépôt de la demande) ou si le droit à une rente était né entre cette date et le 2 juin 2014, date de la décision attaquée marquant la limite dans le temps du pouvoir d'examen de l'autorité de recours (ATF 130 V 445 consid. 1.2 et 1.2.1 et ATF 129 V 1 consid. 1.2).</w:t>
      </w:r>
    </w:p>
    <w:p>
      <w:r>
        <w:rPr>
          <w:b/>
        </w:rPr>
        <w:t>E. 3</w:t>
      </w:r>
    </w:p>
    <w:p>
      <w:r>
        <w:t>En l'espèce, il s'agit d'examiner le bien-fondé de la décision rendue par l'OAIE le 28 novembre 2013. L'objet du litige porte sur le droit de A._______ à obtenir des prestations de l'assurance-invalidité.</w:t>
      </w:r>
    </w:p>
    <w:p>
      <w:r>
        <w:rPr>
          <w:b/>
        </w:rPr>
        <w:t>E. 4</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dix ans au total, si bien qu'il remplit la condition de la durée minimale de cotisations (pce AI 4, pp. 2 et 3, et pce AI 19, pp. 2 à 4). Reste dès lors à examiner la question de l'invalidité dans le cas d'espèce.</w:t>
      </w:r>
    </w:p>
    <w:p>
      <w:r>
        <w:rPr>
          <w:b/>
        </w:rPr>
        <w:t>E. 5.1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5.2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5.3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5.4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8C_623/2012 du 6 décembre 2012 consid. 1.3 et I 733/06 du 16 juillet 2007 consid. 4.2.1).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6</w:t>
      </w:r>
    </w:p>
    <w:p>
      <w:r>
        <w:t>En l'espèce, le dossier est constitué principalement des pièces suivantes :</w:t>
      </w:r>
    </w:p>
    <w:p>
      <w:r>
        <w:rPr>
          <w:b/>
        </w:rPr>
        <w:t>E. 6.1</w:t>
      </w:r>
    </w:p>
    <w:p>
      <w:r>
        <w:t>Le rapport manuscrit du Dr E._______, otorhinolaryngologue, daté du 10 juin 2011, lequel est en grande partie illisible. Dans la mesure où ce document est déchiffrable, il relève que le recourant souffre d'une diminution de ses facultés auditives (pce AI 13).</w:t>
      </w:r>
    </w:p>
    <w:p>
      <w:r>
        <w:rPr>
          <w:b/>
        </w:rPr>
        <w:t>E. 6.2</w:t>
      </w:r>
    </w:p>
    <w:p>
      <w:r>
        <w:t>Le rapport de la Dresse F._______, otorhinolaryngologue, laquelle a diagnostiqué chez l'assuré, le 14 février 2012, une perte d'audition de l'oreille droite et une hypoacousie neurosensorielle sévère à gauche (pce AI 16).</w:t>
      </w:r>
    </w:p>
    <w:p>
      <w:r>
        <w:rPr>
          <w:b/>
        </w:rPr>
        <w:t>E. 6.3</w:t>
      </w:r>
    </w:p>
    <w:p>
      <w:r>
        <w:t>Le rapport du Dr G._______, daté du 21 novembre 2012, dans lequel sont répertoriées les affections suivantes : lombarthrose sévère avec irradiation aux membres inférieurs, vertiges, surdité à droite et hypoacousie neurosensorielle sévère à gauche. Le praticien a proposé un traitement à base, notamment, d'antalgiques, et a souligné que l'état de santé du prénommé ne pourrait guère s'améliorer s'il poursuivait son travail dans la construction (pce AI 17).</w:t>
      </w:r>
    </w:p>
    <w:p>
      <w:r>
        <w:rPr>
          <w:b/>
        </w:rPr>
        <w:t>E. 6.4</w:t>
      </w:r>
    </w:p>
    <w:p>
      <w:r>
        <w:t>Le rapport du Dr H._______, spécialiste en chirurgie orthopédique et traumatologie, daté du 5 décembre 2012, lequel a diagnostiqué chez le recourant une lombarthrose sévère, indiquant au surplus que sa capacité à réaliser des travaux dans sa profession de maçon était très limitée, tout comme sa faculté à porter des poids, à se baisser, à travailler avec une flexion forcée du dos, à monter et descendre des pentes était fortement réduite ; il a en outre souligné que l'évolution de l'état de santé du patient tendait vers une limitation fonctionnelle toujours plus importante et une réduction conséquente de sa capacité fonctionnelle (pce AI 27).</w:t>
      </w:r>
    </w:p>
    <w:p>
      <w:r>
        <w:rPr>
          <w:b/>
        </w:rPr>
        <w:t>E. 6.5</w:t>
      </w:r>
    </w:p>
    <w:p>
      <w:r>
        <w:t>Le rapport E 213 du 25 janvier 2013 (pce AI 18), rédigé par la Dresse D._______, laquelle a notamment fait mention d'une mobilité normale du cou et des épaules, d'une absence de raideurs lombaires, d'une mobilité normale aussi bien des membres inférieurs que supérieurs ainsi que des céphalées avec nausées. Elle a recommandé que l'intéressé évite d'exercer un travail requérant une exposition à la fumée, au gaz, à la vapeur, au bruit, dans lequel il serait nécessaire de fréquemment se baisser et porter des objets ou dans lequel la posture corporelle est variable (marche, position assise et debout).</w:t>
      </w:r>
    </w:p>
    <w:p>
      <w:r>
        <w:rPr>
          <w:b/>
        </w:rPr>
        <w:t>E. 6.6</w:t>
      </w:r>
    </w:p>
    <w:p>
      <w:r>
        <w:t>La prise de position du médecin de l'OAIE, le Dr C._______, médecin généraliste, datée du 27 août 2013, qui a diagnostiqué des troubles dus à l'altération dégénérative, spécialement de la colonne lombaire (M 47.8), et un embonpoint (E 66). Il a en outre rédigé l'appréciation suivante : « L'assuré souffre d'altérations dégénératives, en particulier de la colonne lombaire, provoquant des douleurs chroniques qui augmentent sous la contrainte et qui empêchent progressivement la réalisation du travail habituel. Depuis l'arrêt de travail, fin décembre 2011, l'on note une diminution des troubles, si bien qu'un travail adapté à temps partiel apparaît exigible. A noter la présence d'une surdité presque totale de l'oreille droite et une diminution de l'ouïe à l'oreille gauche, si bien qu'un travail dans un milieu bruyant sans protection adéquate est à éviter » (pce AI 31, p. 2). Le Dr C._______ a conclu que, du point de vue somatique, l'atteinte à la santé justifiait une incapacité de travail de 80 % dans l'activité habituelle dès le 15 juin 2011, celle-ci étant par contre nulle dans l'exercice d'une activité de substitution qui peut être, notamment, une activité de concierge, de gardien d'immeuble ou de chantier, de surveillant de parking ou de musée, de magasinier, de gestionnaire de stock, de vendeur ou encore d'employé de bureau en charge d'activités légères à moyennement lourdes (pce AI 31, pp. 1 et 3).</w:t>
      </w:r>
    </w:p>
    <w:p>
      <w:r>
        <w:rPr>
          <w:b/>
        </w:rPr>
        <w:t>E. 7</w:t>
      </w:r>
    </w:p>
    <w:p>
      <w:r>
        <w:t>Cette documentation appelle les remarques suivantes.</w:t>
      </w:r>
    </w:p>
    <w:p>
      <w:r>
        <w:rPr>
          <w:b/>
        </w:rPr>
        <w:t>E. 7.1.1</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Par ailleurs, selon une pratique constante, la qualification du médecin joue un rôle déterminant dans l'appréciation des documents médicaux. L'administration et le juge appelés à se déterminer en matière d'assurances sociales doivent pouvoir se fonder sur les connaissances spéciales de l'auteur d'un certificat médical servant de base à leur réflexions. Il s'ensuit que le médecin rapporteur ou, au moins, le médecin signant le rapport médical doit en principe disposer d'une spécialisation dans la discipline médicale concernée ; à défaut, la valeur probante d'un tel document est moindre (voir, notamment, arrêt du Tribunal fédéral 9C_28/2015 du 8 juin 2015 consid. 3, et les références citées ; arrêt du Tribunal administratif fédéral C-5500/2014 du 3 septembre 2015 consid. 6).</w:t>
      </w:r>
    </w:p>
    <w:p>
      <w:r>
        <w:rPr>
          <w:b/>
        </w:rPr>
        <w:t>E. 7.1.2</w:t>
      </w:r>
    </w:p>
    <w:p>
      <w:r>
        <w:t>En l'espèce, l'OAIE, pour établir sa décision du 28 novembre 2013, s'est basé sur la prise de position de son service médical, établie et signée par le Dr C._______, médecin généraliste. Ce dernier a retenu, comme diagnostic principal, des troubles dus à l'altération dégénérative, spécialement de la colonne lombaire, et un embonpoint, ainsi que, comme diagnostic associé sans répercussion sur la capacité de travail, une hypoacousie neurosensorielle sévère à droite.</w:t>
      </w:r>
    </w:p>
    <w:p>
      <w:r>
        <w:rPr>
          <w:b/>
        </w:rPr>
        <w:t>E. 7.1.3</w:t>
      </w:r>
    </w:p>
    <w:p>
      <w:r>
        <w:t>Au regard de la jurisprudence citée précédemment (consid. 7.1.1 ; voir, également, les arrêts du Tribunal fédéral 9C_692/2014 du 22 janvier 2015 consid. 3.3 et 9C_196/2014 du 18 juin 2014 consid. 5.1.2), l'OAIE ne pouvait rendre une décision en s'appuyant exclusivement sur la prise de position du Dr C._______, médecin généraliste, établi sans examen personnel du recourant, sur la base de certificats ou rapports médicaux évoqués précédemment (ci-dessus, consid. 6.1 à 6.5), lesquels sont incomplets, lacunaires et rudimentaires, voire partiellement illisibles. Ces pièces contiennent en outre des contradictions. A ce propos, il sied tout particulièrement de relever les avis du Dr H._______ (ci-dessus, consid. 6.4), d'une part, faisant état d'importantes limitations fonctionnelles dues à une lombarthrose sévère, et de la Dresse D._______ (ci-dessus, consid. 6.5), d'autre part, pour qui la mobilité du patient est normale. Quant au rapport du Dr C._______ stricto sensu, il omet de prendre en considération les vertiges, lesquels ont pourtant été documentés dans l'avis médical du Dr G._______ (ci-dessus, consid. 6.3), sans que la raison en soit explicitée. Il fait en outre mention d'une hypoacousie sévère à l'oreille droite alors que les pièces médicales contenues dans le dossier évoquent quant à elles l'oreille gauche (voir, notamment, pce AI 24 : « esquerda »). Partant, de forts doutes subsistent quant à la pertinence du rapport du Dr C._______ du 5 août 2013, dont la valeur probante est de surcroît limitée, le praticien en question ne disposant pas des connaissances spécifiques en matière orthopédique, rhumatologique, neurologique et oto-rhino-laryngologique indispensables au regard de la complexité du cas d'espèce ; par conséquent, l'état de santé réel de A._______ n'est pas établi.</w:t>
      </w:r>
    </w:p>
    <w:p>
      <w:r>
        <w:rPr>
          <w:b/>
        </w:rPr>
        <w:t>E. 7.2</w:t>
      </w:r>
    </w:p>
    <w:p>
      <w:r>
        <w:t>Dans ces conditions, l'autorité inférieure ne pouvait valablement se prononcer sur la demande de prestations formulée par A._______ en se basant uniquement sur le rapport de son médecin conseil, le Dr C._______, lequel, fondé sur le seul dossier et non sur un examen de l'intéressé, n'avait pas la force probante requise. Compte tenu des lacunes des avis médicaux fournis et des doutes quant à la fiabilité et à la pertinence des constatations médicales effectuées à l'interne, l'OAIE aurait dès lors dû solliciter des avis complémentaires et faire procéder, avant de rendre la décision querellée, à une analyse médicale externe, indispensable en l'occurrence pour établir les faits conformément aux exigences de la jurisprudence du Tribunal fédéral (ATF 135 V 465 consid. 4.6 ; voir, également, l'arrêt du Tribunal fédéral 9C_28/2015 du 8 juin 2015 consid. 3).</w:t>
      </w:r>
    </w:p>
    <w:p>
      <w:r>
        <w:rPr>
          <w:b/>
        </w:rPr>
        <w:t>E. 7.3</w:t>
      </w:r>
    </w:p>
    <w:p>
      <w:r>
        <w:t>Au regard de ce qui précède, il appert que la documentation médicale versée au dossier ne permet manifestement pas d'évaluer précisément l'état de santé du recourant et sa capacité de travail pendant l'ensemble de la période déterminante. Il se justifie dès lors d'annuler l'acte entrepris, conclusion à laquelle aussi bien le recourant que l'autorité inférieure ont du reste abouti au terme de l'instruction de la présente procédure de recours (ci-dessus, let. F et L.a). Au surplus, le Tribunal de céans tient à préciser que la seconde prise de position du Dr C._______, datée du 3 novembre 2015, rédigée pour le compte du service médical de l'OAIE (pce TAF 19), ne remplit pas plus les critères jurisprudentiels précités que la première, si bien que sa valeur probante est également limitée. Elle ne permet par conséquent pas une autre appréciation de la situation du cas d'espèce.</w:t>
      </w:r>
    </w:p>
    <w:p>
      <w:r>
        <w:rPr>
          <w:b/>
        </w:rPr>
        <w:t>E. 8.1</w:t>
      </w:r>
    </w:p>
    <w:p>
      <w:r>
        <w:t>En application de l'art. 61 al. 1 PA, l'autorité de recours statue elle-même sur l'affaire ou exceptionnellement la renvoie avec des instructions impératives à l'autorité inférieure. Selon la jurisprudence, un renvoi à l'administration, lorsqu'il a pour but d'établir l'état de fait, ne viole ni le principe de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 Tel est le cas en l'espèce, si bien que la cause doit être renvoyée à l'autorité inférieure pour instruction complémentaire.</w:t>
      </w:r>
    </w:p>
    <w:p>
      <w:r>
        <w:rPr>
          <w:b/>
        </w:rPr>
        <w:t>E. 8.2.1</w:t>
      </w:r>
    </w:p>
    <w:p>
      <w:r>
        <w:t>Dans ce cadre, l'autorité inférieure procédera à tout le moins à une expertise pluridisciplinaire (orthopédie, rhumatologie, neurologie, ORL) en Suisse, qui permettra d'évaluer les douleurs chroniques de l'appareil locomoteur du recourant, aussi bien du point de vue rhumatologique qu'orthopédique, ainsi que l'exige la jurisprudence du Tribunal fédéral (arrêts du Tribunal fédéral 9C_270/2012 du 23 mai 2012 consid. 4.2 et 9C_335/2015 du 1er septembre 2015 consid. 4.2.2). Si l'expertise devait parvenir à la conclusion que le recourant dispose d'une capacité de travail dans une activité adaptée, l'OAIE devra encore effectuer une évaluation professionnelle afin de déterminer concrètement si et dans quelle mesure le recourant peut exploiter sa capacité résiduelle de travail sur le marché de l'emploi, compte tenu de son âge. A ce propos, lorsqu'une personne assurée se trouve proche de l'âge de la retraite, il faut se demander si, de manière réaliste et en appréciant la situation dans son ensemble, l'assuré - qui était âgé de 60 ans au jour du dépôt de la demande de prestations - est en mesure d'exploiter économiquement sa capacité de gain résiduelle sur un marché équilibré du travail (à ce sujet, notamment, arrêt du Tribunal fédéral 9C_1043/2008 du 2 juillet 2009 consid. 3.2).</w:t>
      </w:r>
    </w:p>
    <w:p>
      <w:r>
        <w:rPr>
          <w:b/>
        </w:rPr>
        <w:t>E. 8.2.2</w:t>
      </w:r>
    </w:p>
    <w:p>
      <w:r>
        <w:t>Ceci fait, et sur la base d'un dossier complet - en tenant compte du rapport du Dr B._______, daté du 2 juin 2013, qui a été cité dans l'opposition du 23 octobre 2013 et dans le mémoire de recours du 26 décembre 2013, mais qui ne figurait pas au dossier au jour de la prise de décision et a finalement été versé au dossier par le recourant, sur requête du Tribunal, le 19 octobre 2015 (ci-dessus, let. K.b) - l'OAIE rendra une nouvelle décision.</w:t>
      </w:r>
    </w:p>
    <w:p>
      <w:r>
        <w:rPr>
          <w:b/>
        </w:rPr>
        <w:t>E. 9.1</w:t>
      </w:r>
    </w:p>
    <w:p>
      <w:r>
        <w:t>Vu l'issue de la cause, il n'est pas perçu de frais de procédure (art. 63 PA et art. 3 ss du règlement du 21 février 2008 concernant les frais, dépens et indemnités fixés par le Tribunal administratif fédéral [FITAF ; RS 173.320.2]). Le montant de 400 francs versé par le recourant à titre d'avance de frais lui sera restitué une fois le présent arrêt entrée en force.</w:t>
      </w:r>
    </w:p>
    <w:p>
      <w:r>
        <w:rPr>
          <w:b/>
        </w:rPr>
        <w:t>E. 9.2</w:t>
      </w:r>
    </w:p>
    <w:p>
      <w:r>
        <w:t>Le recourant ayant agi sans l'assistance d'un mandataire professionnel et n'ayant pas démontré avoir eu à supporter des frais indispensables et relativement élevés, il ne lui est pas alloué d'indemnité à titre de dépens (art. 64 al. 1 PA et art.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