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C-3445/2012 vom 6. Mai 2014</w:t>
      </w:r>
    </w:p>
    <w:p>
      <w:r>
        <w:t>Bundesverwaltungsgericht, 2014-05-06, FR</w:t>
      </w:r>
    </w:p>
    <w:p>
      <w:r>
        <w:rPr>
          <w:b/>
        </w:rPr>
        <w:t xml:space="preserve">Quelle: </w:t>
      </w:r>
      <w:r>
        <w:t>https://mcp.opencaselaw.ch/entscheid/bvger_C-3445_2012</w:t>
      </w:r>
    </w:p>
    <w:p>
      <w:r>
        <w:t>FR: TAF C-3445/2012 du 6 mai 2014</w:t>
      </w:r>
    </w:p>
    <w:p>
      <w:r>
        <w:t>IT: TAF C-3445/2012 del 6 maggio 2014</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en dérogation aux conditions d'admission et de renvoi prononcées par l'ODM - lequel constitue une unité de l'administration fédérale telle que définie à l'art. 33 let. d LTAF - sont susceptibles de recours au Tribunal, qui statue définitivement (art. 1 al. 2 LTAF en relation avec l'art. 83 let. c ch. 2, 4 et 5 LTF).</w:t>
      </w:r>
    </w:p>
    <w:p>
      <w:r>
        <w:rPr>
          <w:b/>
        </w:rPr>
        <w:t>E. 1.2</w:t>
      </w:r>
    </w:p>
    <w:p>
      <w:r>
        <w:t>La procédure devant le Tribunal est régie par la PA, à moins que la LTAF n'en dispose autrement (art. 37 LTAF).</w:t>
      </w:r>
    </w:p>
    <w:p>
      <w:r>
        <w:rPr>
          <w:b/>
        </w:rPr>
        <w:t>E. 1.3</w:t>
      </w:r>
    </w:p>
    <w:p>
      <w:r>
        <w:t>A._______ a qualité pour recourir (art. 48 al. 1 PA). Présenté dans la forme et les délais prescrits par la loi, le recours est recevable (art. 50 et 52 PA).</w:t>
      </w:r>
    </w:p>
    <w:p>
      <w:r>
        <w:rPr>
          <w:b/>
        </w:rPr>
        <w:t>E. 2.1</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2012/21 consid. 5.1).</w:t>
      </w:r>
    </w:p>
    <w:p>
      <w:r>
        <w:rPr>
          <w:b/>
        </w:rPr>
        <w:t>E. 2.2</w:t>
      </w:r>
    </w:p>
    <w:p>
      <w:r>
        <w:t>En vertu de la réglementation au sujet de la répartition des compé­tences en matière de police des étrangers entre la Confédération et les cantons, si les cantons ont certes la faculté de se déterminer à titre préalable au sujet de la délivrance ou du renouvellement d'autorisations de séjour fondées sur l'art. 30 al. 1 let. b LEtr, la compétence décisionnelle en la matière (sous forme d'approbation) appartient toutefois à la Confédération, plus particulièrement à l'ODM et, en vertu de l'effet dévolutif du recours (art. 54 PA), au Tribunal (art. 40 al. 1 et art. 99 LEtr, en relation avec les art. 85 et 86 OASA; cf. également ch. 1.3.2 let. d des Directives et circulaires de l'ODM, en ligne sur son site &gt; Documentation &gt; Bases légales &gt; Directives et circulaires &gt; Domaine des étrangers &gt; I. Domaine des étrangers, version du 25 octobre 2013, visité en avril 2014).</w:t>
      </w:r>
    </w:p>
    <w:p>
      <w:r>
        <w:rPr>
          <w:b/>
        </w:rPr>
        <w:t>E. 3.1</w:t>
      </w:r>
    </w:p>
    <w:p>
      <w:r>
        <w:t>A teneur de l'art. 30 al. 1 LEtr, il est possible de déroger aux conditions d'admission prévues aux art. 18 à 29 LEtr, notamment dans le but de tenir compte des cas individuels d'une extrême gravité ou d'intérêts publics majeurs (let. b).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w:t>
      </w:r>
    </w:p>
    <w:p>
      <w:r>
        <w:rPr>
          <w:b/>
        </w:rPr>
        <w:t>E. 3.2</w:t>
      </w:r>
    </w:p>
    <w:p>
      <w:r>
        <w:t>Les critères de reconnaissance du cas de rigueur, initialement dégagés de la pratique et de la jurisprudence relatives à l'art. 13 let. f de l'ordonnance du 6 octobre 1986 limitant le nombre des étrangers (OLE; RO 1986 1791) et repris à l'art. 31 al. 1 OASA, ne constituent pas un catalogue exhaustif, pas plus qu'ils ne doivent être réalisés cumulativement (ATAF 2009/40 consid. 6.2).</w:t>
      </w:r>
    </w:p>
    <w:p>
      <w:r>
        <w:rPr>
          <w:b/>
        </w:rPr>
        <w:t>E. 3.3</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(arrêt du Tribunal fédéral 2C_75/2011 du 6 avril 2011 consid. 1.1.1).</w:t>
      </w:r>
    </w:p>
    <w:p>
      <w:r>
        <w:rPr>
          <w:b/>
        </w:rPr>
        <w:t>E. 3.4</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Tribunal administratif fédéral C 636/2010 du 14 décembre 2010 [partiellement publié in : ATAF 2010/55] consid. 5.2 et 5.3 et la jurisprudence et doctrine citées ; ATAF 2009/40 consid. 6.2 ; Blaise Vuille/Claudine Schenk, L'article 14 alinéa 2 de la loi sur l'asile et la notion d'intégration, in :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C-636/2010 précité consid. 5.3 ; Blaise Vuille/Claudine Schenk, op. cit., p. 114s., et la doctrine citée).</w:t>
      </w:r>
    </w:p>
    <w:p>
      <w:r>
        <w:rPr>
          <w:b/>
        </w:rPr>
        <w:t>E. 4</w:t>
      </w:r>
    </w:p>
    <w:p>
      <w:r>
        <w:t>En l'occurrence, le recourant a invoqué la durée de son séjour en Suisse, son intégration socioculturelle, son comportement respectueux, son évolution professionnelle ainsi que son état de santé, rendant sa réintégration inenvisageable, pour prétendre à l'octroi d'une autorisation de séjour en sa faveur. Ainsi, A._______ affirme s'être établi en Suisse en avril 2004 et pouvoir se prévaloir, à ce jour, d'une durée de séjour de près de 10 ans sur le territoire helvétique. Or, il sied de rappeler que, selon la jurisprudence applicable en la matière, le simple fait pour un étranger de séjourner en Suisse pendant de longues années ne permet pas d'admettre un cas personnel d'extrême gravité (ATAF 2007/16 consid. 7). Ceci vaut d'autant plus dans le cas particulier, dès lors que l'intéressé a d'abord vécu en Suisse de manière totalement illégale et que, depuis le dépôt de sa demande de régularisation, il ne demeure sur le territoire helvétique qu'en vertu d'une simple tolérance cantonale, laquelle consiste en un statut à caractère provisoire et aléatoire (ATAF 2007/45 consid. 6.3). En conséquence, le recourant ne saurait tirer parti de la seule durée de son séjour en Suisse pour obtenir une autorisation de séjour. Il se trouve en effet dans une situation comparable à celle de nombreux étrangers qui sont appelés à quitter la Suisse au terme d'un séjour autorisé ou non et qui, ne bénéficiant d'aucun traitement particulier, restent soumis aux conditions prévues par la législation applicable en matière d'octroi d'une autorisation de séjour. Il y a dès lors lieu d'examiner si des critères d'évaluation autres que la seule durée de séjour en Suisse seraient de nature à faire admettre qu'un départ de ce pays placerait l'intéressé dans une situation extrêmement rigoureuse.</w:t>
      </w:r>
    </w:p>
    <w:p>
      <w:r>
        <w:rPr>
          <w:b/>
        </w:rPr>
        <w:t>E. 4.1</w:t>
      </w:r>
    </w:p>
    <w:p>
      <w:r>
        <w:t>Certes, hormis les infractions aux prescriptions de police des étrangers qu'il a commises en séjournant et en travaillant en Suisse à l'insu des autorités, l'intéressé n'a pas commis d'actes punissables et a toujours assuré son indépendance financière. On ne saurait cependant considérer que A._______ ait adopté une attitude respectueuse envers les autorités helvétiques. En effet, le dossier révèle que le prénommé a fait l'objet d'une interdiction d'entrée en 2007, renouvelée en 2008, pour des infractions aux prescriptions de police des étrangers, à laquelle il ne s'est jamais conformée, en dépit de sa notification. Aussi, même s'il ne faut pas exagérer l'importance des infractions aux prescriptions de police des étrangers inhérentes à la condition de travailleur clandestin (ATF 130 II 39 consid. 5.2), on ne saurait considérer que A._______ ait fait preuve d'un comportement irréprochable. En outre, s'il est avéré que le recourant a tissé des liens non négligeables avec son milieu, il n'en demeure pas moins que son intégration sociale ne revêt pas un caractère exceptionnel. Aucun élément du dossier ne permet en effet de penser que l'intéressé se serait particulièrement investi dans la vie associative ou culturelle locale. Certes, en date du 1er janvier 2013, il a été incorporé à la section 3 du Service de Défense Incendie et Secours (SDIS) de F._______, en qualité de recrue, mais ce fait, outre qu'il intervient en cours de procédure de recours, ne saurait justifier une approche différente de son dossier. A propos de l'intégration socioculturelle, on ne saurait en outre perdre de vue qu'il est parfaitement normal qu'une personne ayant effectué un séjour prolongé dans un pays tiers s'y soit créée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2007/44 consid. 4.2, ATAF 2007/45 précité consid. 4.2, ATAF 2007/16 précité consid. 5.2 et la jurisprudence citée).</w:t>
      </w:r>
    </w:p>
    <w:p>
      <w:r>
        <w:rPr>
          <w:b/>
        </w:rPr>
        <w:t>E. 4.2</w:t>
      </w:r>
    </w:p>
    <w:p>
      <w:r>
        <w:t>S'agissant de l'intégration professionnelle de A._______ en Suisse, le Tribunal constate que l'intéressé a d'abord travaillé comme ferrailleur, dans la région lausannoise, avant d'être engagé, en 2007, comme chef de chantier au sein de l'entreprise RSA Travaux Sàrl, dirigée par son frère. Dans ce contexte, il a obtenu en 2013 le permis de grutier B et, en avril 2013, il a été nommé chef d'équipe. Il est indéniable que, sur le plan professionnel, le prénommé a fait preuve de stabilité et a connu une certaine évolution. A cela s'ajoute qu'il est parvenu à subvenir à ses besoins, sans recourir à l'aide sociale et sans faire de dettes. Le parcours professionnel de l'intéressé n'a toutefois rien d'exceptionnel, si l'on tient compte de la durée de son séjour en Suisse et du fait qu'il a pu profiter de la présence de son frère, au sein de l'entreprise duquel il a d'ailleurs été engagé à partir de 2007. Force est en effet de constater que, par les emplois qu'il a occupés et occupe toujours, le prénommé n'a pas fait preuve d'une évolution professionnelle remarquable au sens de la jurisprudence et de la doctrine précitées (consid. 3.4 supra), ni acquis des connaissances ou qualifications spécifiques qu'il ne pourrait plus mettre en pratique ailleurs qu'en Suisse, notamment dans son pays d'origine. L'intégration professionnelle de l'intéressé, même si elle paraît réussie, ne saurait donc justifier, à elle seule, l'admission d'un cas de rigueur au sens de l'art. 30 al. 1 let. b LEtr.</w:t>
      </w:r>
    </w:p>
    <w:p>
      <w:r>
        <w:rPr>
          <w:b/>
        </w:rPr>
        <w:t>E. 4.3</w:t>
      </w:r>
    </w:p>
    <w:p>
      <w:r>
        <w:t>Sur un autre plan, le Tribunal n'ignore pas que les perspectives de travail offertes en Suisse sont plus attractives qu'au Kosovo.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(ATAF 2007/44 précité consid. 5.3, ATAF 2007/45 précité consid. 7.6, ATAF 2007/16 précité consid. 10, et la jurisprudence citée), ce qui n'est pas le cas en l'espèce. Certes, l'intéressé a produit deux attestations médicales (datées des 3 mai 2012 et 30 août 2012), desquelles il ressort pour l'essentiel qu'il présente des troubles du sommeil importants avec des cauchemars réguliers, en raison de flash back de scènes vécues durant la guerre au Kosovo. Si le Tribunal n'est pas insensible aux appréhensions éprouvées par l'intéressé en cas de retour au Kosovo, il doit cependant relever que les troubles avancés par l'intéressé ne sauraient constituer un obstacle dirimant à l'exécution de son renvoi. En effet, force est de constater qu'ils ne sauraient être comparés à une maladie à ce point grave que seule une prise en charge en Suisse serait possible. De plus, on ne saurait perdre de vue que A._______ a vécu la majeure partie de son existence au Kosovo, notamment son adolescence et le début de sa vie d'adulte, qui sont les années décisives durant lesquelles se forge la personnalité en fonction notamment du milieu socioculturel (ATAF 2007/45 précité consid. 7.6 et la jurisprudence citée). Dans ces conditions, et malgré la présence de ses deux frères en Suisse, le Tribunal ne saurait considérer que les attaches que le prénommé a nouées avec ce pays aient pu le rendre totalement étranger à sa patrie, au point qu'il ne serait plus en mesure, après une période d'adaptation, d'y retrouver ses repères. Rien ne permet en tout cas d'affirmer que les difficultés que l'intéressé est susceptible de rencontrer à son retour au Kosovo, pays où résident encore plusieurs membres de sa famille (cf. not., demande du 18 mars 2010 ad page 2), seraient plus graves pour lui que pour n'importe lequel de ses concitoyens appelés à quitter la Suisse au terme d'un séjour dans ce pays, ou que sa situation serait sans commune mesure avec celle que connaissent ses compatriotes restés sur place.</w:t>
      </w:r>
    </w:p>
    <w:p>
      <w:r>
        <w:rPr>
          <w:b/>
        </w:rPr>
        <w:t>E. 4.4</w:t>
      </w:r>
    </w:p>
    <w:p>
      <w:r>
        <w:t>Force est dès lors de conclure que l'intégration du recourant en Suisse, qui ne revêt nullement un caractère exceptionnel, ne satisfait pas aux conditions restrictives requises pour la reconnaissance d'une situation d'extrême gravité (cf. consid. 3.4 supra).</w:t>
      </w:r>
    </w:p>
    <w:p>
      <w:r>
        <w:rPr>
          <w:b/>
        </w:rPr>
        <w:t>E. 4.5</w:t>
      </w:r>
    </w:p>
    <w:p>
      <w:r>
        <w:t>Dans son recours du 28 juin 2012, l'intéressé a au surplus fait valoir que son cas s'apparentait avec celui d'un compatriote, E._______, voire avec celui d'une Kosovare de 21 ans (arrêt du Tribunal administratif fédéral C-5048/2010 du 7 mai 2012).</w:t>
      </w:r>
    </w:p>
    <w:p>
      <w:r>
        <w:rPr>
          <w:b/>
        </w:rPr>
        <w:t>E. 4.6</w:t>
      </w:r>
    </w:p>
    <w:p>
      <w:r>
        <w:t>Le principe de l'égalité de traitement consacré à l'art. 8 al. 1 Cst. exige que la loi elle-même et les décisions d'application de la loi traitent de façon égale des choses égales et de façon différentes des choses différentes. Ainsi,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sur cette question notamment ATF 136 II 120 consid. 3.3.2 et 131 I 394 consid. 4.2; voir également les ATAF 2010/53 consid. 12.1, 2010/6 consid. 4.1, 2009/32 consid. 5.1 et réf. citées).</w:t>
      </w:r>
    </w:p>
    <w:p>
      <w:r>
        <w:rPr>
          <w:b/>
        </w:rPr>
        <w:t>E. 4.7</w:t>
      </w:r>
    </w:p>
    <w:p>
      <w:r>
        <w:t>En l'espèce, le Tribunal observe que les dossiers cités par l'intéressé contiennent des différences suffisamment significatives pour justifier un traitement différent. Ainsi, dans le cas de la famille E._______ (pour laquelle il n'est donné aucune référence, permettant de vérifier les déclarations de l'intéressé), le recourant a déclaré que son compatriote avait, tout comme lui, quitté son pays et était installé en Suisse depuis à peu près le même nombre d'années que lui-même. Par ailleurs, il travaillerait également comme ferrailleur depuis de nombreuses années et, tout comme lui-même, aurait fait preuve d'une intégration remarquable. Toutefois, ainsi que le relève le recourant lui-même, son compatriote serait marié et père d'un enfant, soit des éléments dont il est également tenu compte dans l'examen individuel du cas (cf. point 3.4 in fine ci-dessus). Quant au cas examiné dans l'arrêt C-5048/2010 du 7 mai 2012, il est encore plus éloigné de la situation du recourant dès lors qu'il s'agissait de régler les conditions de séjour d'une jeune femme kosovare, exerçant la fonction de tutrice à l'égard de sa soeur, laquelle a été admise provisoirement en Suisse en raison de son état de santé. A cela s'ajoute le fait qu'il s'agit ici d'un domaine où il est très difficile de faire des comparaisons, les particularités du cas d'espèce étant déterminantes dans l'appréciation d'un éventuel cas de rigueur (cf. arrêt du Tribunal fédéral 2A.305/2006 du 2 août 2006 consid. 5.3, arrêt du Tribunal administratif fédéral C-198/2006 du 26 juillet 2007 consid. 8.3). Cela étant, le Tribunal de céans observe que le cas de l'intéressé a fait l'objet d'une analyse détaillée, de laquelle il est ressorti qu'il ne remplissait pas les conditions de l'art. 30 al. 1 let. b LEtr. C'est donc en vain que le recourant invoque une violation du principe de l'égalité de traitement.</w:t>
      </w:r>
    </w:p>
    <w:p>
      <w:r>
        <w:rPr>
          <w:b/>
        </w:rPr>
        <w:t>E. 4.8</w:t>
      </w:r>
    </w:p>
    <w:p>
      <w:r>
        <w:t>Dans ces conditions, après une appréciation de l'ensemble des circonstances, le Tribunal, à l'instar de l'autorité de première instance, parvient à la conclusion que la situation d'A._______, envisagée dans sa globalité et au vu de la jurisprudence développée en la matière, n'est pas constitutive d'une situation d'extrême gravité au sens de l'art. 30 al. 1 let. b LEtr.</w:t>
      </w:r>
    </w:p>
    <w:p>
      <w:r>
        <w:rPr>
          <w:b/>
        </w:rPr>
        <w:t>E. 5.1</w:t>
      </w:r>
    </w:p>
    <w:p>
      <w:r>
        <w:t>Le recourant n'obtenant pas d'autorisation de séjour en Suisse, c'est également à bon droit que l'autorité inférieure a prononcé son renvoi conformément à l'art. 64 al. 1 let. c LEtr.</w:t>
      </w:r>
    </w:p>
    <w:p>
      <w:r>
        <w:rPr>
          <w:b/>
        </w:rPr>
        <w:t>E. 5.2</w:t>
      </w:r>
    </w:p>
    <w:p>
      <w:r>
        <w:t>Enfin, le dossier ne fait pas apparaître l'existence d'obstacles à l'exécution du renvoi au sens de l'art. 83 al. 1 à 4 LEtr. En effet, le Kosovo ne connaît pas une situation de guerre, de guerre civile ou de violence généralisée qui permettrait d'emblée de présumer, à propos de tous les ressortissants de ce pays, l'existence d'une mise en danger concrète. A cela s'ajoute que A._______, qui est âgé de trente-deux ans, a vécu plus de 20 ans au Kosovo, où il a effectué toute sa scolarité. Comme relevé au point 4.3 in fine ci-avant, certains membres de sa famille résident encore au Kosovo, de sorte que sa réintégration dans ce pays - qu'il a quitté il y a près de 10 ans - ne devrait donc pas l'exposer à des difficultés insurmontables. Enfin, les problèmes psychiques allégués par l'intéressé ne sauraient pas davantage justifier l'octroi d'une admission provisoire au motif de l'inexigibilité de l'exécution du renvoi (cf. point 4.3 ci-avant). Aussi, l'exécution de son renvoi apparaît-elle raisonnablement exigible, au sens de l'art. 83 al. 4 LEtr (ATAF 2009/51 consid. 5.5 et ATAF 2008/34 consid. 11.1 ; ATAF 2007/10 consid. 5.1, par analogie ; Jurisprudence et informations de la Commission suisse de recours en matière d'asile [JICRA] 2005 n° 24 consid. 10.1, JICRA 2003 n° 24 consid. 5a, par analogie). Partant, et à plus forte raison, la situation de l'intéressé ne saurait entrer dans les prévisions des garanties internationales contre le refoulement ou d'autres engagements pris par la Suisse relevant du droit international. L'exécution du renvoi s'avère en conséquence parfaitement licite au sens de l'art. 83 al. 3 LEtr (ATAF 2009/2 consid. 9.1 ; JICRA 2001 n° 16 consid. 6a, JICRA 1996 n° 18 consid. 14a et 14b, par analogie). Certes, l'intéressé a fait valoir qu'en cas de renvoi dans son pays, il serait exposé à un risque de mauvais traitement, en raison de conflits interfamiliaux. Force est cependant de constater que cette assertion n'est étayée par aucun élément concret, qui permettrait d'en retenir la réalité. Par ailleurs, il convient également de relever que l'intéressé peut bénéficier, au Kosovo, d'un accès concret à des structures de protection efficaces et qu'il peut être raisonnablement exigé de lui qu'il fasse appel, si nécessaire, à ce système de protection interne (cf. JICRA 2006 n° 18 consid. 10.3 p. 203s.). En outre, l'exécution du renvoi est possible au sens de l'art. 83 al. 2 LEtr (ATAF 2008/34 consid. 12 ; JICRA 2006 n° 15 consid. 2.4 et consid. 3, par analogie), le recourant étant, dans tous les cas, tenu de collaborer à l'obtention de documents de voyage lui permettant de retourner dans son pays d'origine.</w:t>
      </w:r>
    </w:p>
    <w:p>
      <w:r>
        <w:rPr>
          <w:b/>
        </w:rPr>
        <w:t>E. 5.3</w:t>
      </w:r>
    </w:p>
    <w:p>
      <w:r>
        <w:t>Le prononcé d'une mesure de remplacement se substituant à l'exécution du renvoi (admission provisoire) ne saurait donc se justifier in casu.</w:t>
      </w:r>
    </w:p>
    <w:p>
      <w:r>
        <w:rPr>
          <w:b/>
        </w:rPr>
        <w:t>E. 6</w:t>
      </w:r>
    </w:p>
    <w:p>
      <w:r>
        <w:t>Au vu de ce qui précède, le Tribunal est amené à conclure que la décision querellée est conforme au droit (art. 49 PA). Le recours est en conséquence rejeté. 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