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C-3434/2014 vom 16. September 2015</w:t>
      </w:r>
    </w:p>
    <w:p>
      <w:r>
        <w:t>Bundesverwaltungsgericht, 2015-09-16, DE</w:t>
      </w:r>
    </w:p>
    <w:p>
      <w:r>
        <w:rPr>
          <w:b/>
        </w:rPr>
        <w:t xml:space="preserve">Quelle: </w:t>
      </w:r>
      <w:r>
        <w:t>https://mcp.opencaselaw.ch/entscheid/bvger_C-3434_2014</w:t>
      </w:r>
    </w:p>
    <w:p>
      <w:r>
        <w:t>FR: TAF C-3434/2014 du 16 septembre 2015</w:t>
      </w:r>
    </w:p>
    <w:p>
      <w:r>
        <w:t>IT: TAF C-3434/2014 del 16 settembre 2015</w:t>
      </w:r>
    </w:p>
    <w:p>
      <w:pPr>
        <w:pStyle w:val="Heading2"/>
      </w:pPr>
      <w:r>
        <w:t>Regeste</w:t>
      </w:r>
    </w:p>
    <w:p>
      <w:r>
        <w:t>Einreiseverbot</w:t>
      </w:r>
    </w:p>
    <w:p>
      <w:pPr>
        <w:pStyle w:val="Heading2"/>
      </w:pPr>
      <w:r>
        <w:t>Erwägungen</w:t>
      </w:r>
    </w:p>
    <w:p>
      <w:r>
        <w:rPr>
          <w:b/>
        </w:rPr>
        <w:t>E. 1.1</w:t>
      </w:r>
    </w:p>
    <w:p>
      <w:r>
        <w:t>Verfügungen des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Erhebung des Rechtsmittels legitimiert (Art. 48 Abs. 1 VwVG). Auf die frist- und formgerecht eingereichte Beschwerde ist, soweit sie nicht durch Wiedererwägung gegenstandslos geworden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kann ein Einreiseverbot gegenüber ausländischen Personen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entschieden, dass Einreiseverbote, die auf der Grundlage von Art. 67 AuG ergehen, stets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w:t>
      </w:r>
    </w:p>
    <w:p>
      <w:r>
        <w:t>Die Vorinstanz hat sich beim Erlass der angefochtenen Verfügung auf die strafrechtlichen Verurteilungen des Beschwerdeführers gestützt, insbesondere auf diejenige vom 17. August 2011. Zweifellos stellen bereits die mit diesem Urteil sanktionierten Straftaten Verstösse gegen die öffentliche Sicherheit und Ordnung dar, was gestützt auf Art. 67 Abs. 2 Bst. a AuG grundsätzlich die Anordnung eines Einreiseverbots rechtfertigt. Dies wird vom Beschwerdeführer denn auch ausdrücklich anerkannt.</w:t>
      </w:r>
    </w:p>
    <w:p>
      <w:r>
        <w:rPr>
          <w:b/>
        </w:rPr>
        <w:t>E. 5.1</w:t>
      </w:r>
    </w:p>
    <w:p>
      <w:r>
        <w:t>Das von der Vorinstanz ursprünglich verhängte, unbefristete Einreiseverbot wurde infolge der Rechtsprechungsänderung des Bundesverwaltungsgerichts (BVGE 2014/20) im Zuge der Vernehmlassung auf die höchste zulässige Dauer von 15 Jahren befristet. In einem weiteren Schritt ist nachfolgend zu prüfen, ob die Voraussetzungen gemäss Art. 67 Abs. 3 Satz 2 AuG (schwerwiegende Gefahr für die öffentliche Sicherheit und Ordnung) erfüllt sind, welche die Verhängung eines mehr als fünfjährigen Einreiseverbots zulassen. Eine Störung der öffentlichen Sicherheit und Ordnung durch strafbare Handlungen gegen Leib und Leben sowie durch wiederholte Delinquenz im Vorfeld können nach dem bereits Gesagten (vgl. E. 3.4) schon allein angesichts der besonderen Hochwertigkeit der betroffenen Rechtsgüter als Grundlage für die Annahme einer schwerwiegenden Gefahr im Sinne von Art. 67 Abs. 3 zweiter Satz AuG dienen. Vorausgesetzt wird allerdings auch, dass die Wahrscheinlichkeit der Realisierung hinreichend gross ist. Sie muss signifikant höher sein als diejenige, die der Annahme einer rechtlich relevanten Gefahr im Sinne von Art. 67 Abs. 2 Bst. a AuG zugrunde liegt.</w:t>
      </w:r>
    </w:p>
    <w:p>
      <w:r>
        <w:rPr>
          <w:b/>
        </w:rPr>
        <w:t>E. 5.2</w:t>
      </w:r>
    </w:p>
    <w:p>
      <w:r>
        <w:t>Die gegen den Beschwerdeführer ergangenen Straferkenntnisse deuten auf eine erhebliche kriminelle Energie hin. Der Beschwerdeführer, von Beruf Metzger, habe gemäss Entscheid vom 17. August 2011, mit einem 30 cm langen Fleischmesser, dem unbewaffneten Opfer einem Stich in den Oberbauch versetzt und damit dessen Tod verursacht. Zudem habe er dem Opfer ins Gesäss gestochen. Er habe wahllos um sich gestochen und dabei mit dem Messer, mit dem er sich ursprünglich selber habe umbringen wollen, mehrere Personen getroffen, welche sich am Tatort befunden hätten. Ihm sei gleichgültig gewesen, wie und wo er die Personen, die sich mit ihm am Tatort befanden, traf und er habe auch schwere bzw. tödliche Verletzungen in Kauf genommen. Dies zeige sich einerseits durch die Verletzungen der Opfer und andererseits durch das Zielen auf den Oberkörper sowie die Herz- und Halsgegend. So habe er ein zweites Opfer nur am Oberarm, aber dennoch auf Herzhöhe getroffen. Bei einer weiteren anwesenden Person habe er mit dem Messer in Richtung Hals gezielt. Einem dritten Opfer, von welchem er zuvor "herumgeschubst" worden sei, und wodurch er sich wohl bedrängt gefühlt habe, habe er in einer völlig unverhältnismässigen und unkontrollierten Reaktion einen Oberschenkeldurchstich zugefügt, was für eine erhebliche Kraftanwendung bei der Tatwaffenführung spreche. Den Beschuldigten treffe daher ein schweres Verschulden und er hätte der Situation problemlos ausweichen können, wenn er den Tatort frühzeitig verlassen hätte. Trotz seines destabilisierten psychischen Zustandes und der starken Alkoholisierung schloss das Gericht aufgrund der konkreten Umstände nicht auf eine vollständige Aufhebung der Steuerungs- und damit der Schuldunfähigkeit. Sein zumindest eventualvorsätzliches Handeln werde indessen davon nicht berührt.</w:t>
      </w:r>
    </w:p>
    <w:p>
      <w:r>
        <w:rPr>
          <w:b/>
        </w:rPr>
        <w:t>E. 5.3</w:t>
      </w:r>
    </w:p>
    <w:p>
      <w:r>
        <w:t>Durch seine strafrechtliche Verurteilung zu fünf Jahren Freiheitsstrafe hat der Beschwerdeführer die praxisgemässe Grenze einer längerfristigen Freiheitsstrafe massiv (um das Fünffache) überschritten (vgl. dazu BGE 139 I 31 E. 2.1). Zudem beinhaltet die Verurteilung zu einer Freiheitsstrafe von mehr als zwei Jahren in fremdenpolizeilicher bzw. administrativrechtlicher Perspektive in jedem Fall einen sehr schwerwiegenden Verstoss gegen die schweizerische Rechtsordnung (vgl. BGE 135 II 377 E. 4.4).</w:t>
      </w:r>
    </w:p>
    <w:p>
      <w:r>
        <w:rPr>
          <w:b/>
        </w:rPr>
        <w:t>E. 5.4</w:t>
      </w:r>
    </w:p>
    <w:p>
      <w:r>
        <w:t>Zu prüfen ist, ob auch heute noch von einer im Sinne von Art. 67 Abs. 3 AuG schwerwiegenden Gefahr für die öffentliche Sicherheit und Ordnung ausgegangen werden kann. Eine relevante Gefährdung kann nicht schon deshalb verneint werden, weil die letzte Verurteilung des Beschwerdeführers bereits vier Jahre zurück liegt. Zu Gunsten des Beschwerdeführers lässt sich jedoch anführen, dass er im Strafverfahren geständig war und er aufrichtige Reue zeigte, dies in der Hauptverhandlung noch einmal erklärte und sich persönlich bei den anwesenden Opfern entschuldigte, was vom Strafgericht als strafminderndes Element gewertet wurde. Des Weiteren wirkten sich die durch die starke Alkoholisierung beeinträchtigten kognitiven Fähigkeiten unter den gesamten Vor-aussetzungen zu einer schwerwiegenden Verminderung der Steuerungsfähigkeit aus, was zu einer erheblichen Reduktion des schweren Verschuldens des Beschwerdeführers führte. Die Vollzugszeit wurde als gesamthaft positiv beurteilt. Zu Beginn hätten noch "Fragezeichen" über die tatsächliche innere Einstellung bestanden. Im weiteren Verlauf habe er aber den Tatbeweis erbringen können, dass er psychisch stabil zu sein scheine. Insgesamt wurde in Bezug auf Tötungsdelikte in nicht alkoholisiertem Zustand von einem geringen Rückfallrisiko ausgegangen, wobei grösster Wert auf Drogen- und Alkoholabstinenz zu legen sei. Aus diesem Grund wurde die vorzeitige Entlassung unter bestimmten Voraussetzungen mit flankierenden Massnahmen zur Verminderung der Rückfallgefahr als vertretbar erachtet. Vor diesem Hintergrund stellt der Beschwerdeführer nicht nur die Existenz einer schwerwiegenden, sondern einer Gefahr überhaupt, in Abrede. Er habe sich bewährt und seine Lehren aus dem Geschehenen gezogen.</w:t>
      </w:r>
    </w:p>
    <w:p>
      <w:r>
        <w:rPr>
          <w:b/>
        </w:rPr>
        <w:t>E. 5.5</w:t>
      </w:r>
    </w:p>
    <w:p>
      <w:r>
        <w:t>Dem Beschwerdeführer kann nicht gefolgt werden. Dass er im Strafverfahren geständig war und er sich im Strafvollzug klaglos verhalten hat, ist zwar bei der Prüfung ausländerrechtlicher Massnahmen nicht ohne Bedeutung. Die Aussagekraft dieser Elemente ist jedoch gering. Denn die Geständigkeit eines Beschuldigten kann genauso gut taktische Gründe haben, und die strafrechtliche Prüfung, ob einem Täter der bedingte Strafvollzug gewährt werden kann, folgt anderen, weniger strengen Regeln als die ausländerrechtliche Gefahrenprognose (BGE 137 II 233 E. 5.2.2 m.H.). Die Feststellung, dass dem Beschwerdeführer in Bezug auf Tötungsdelikte in nicht alkoholisiertem Zustand ein geringes Rückfallrisiko attestiert wurde, ist sodann zu relativieren. Bezieht sich diese Aussage doch explizit einzig auf die Verübung von Tötungsdelikten und lässt keine Einschätzung des Risikos anderer Straftaten zu. Im Übrigen kann hinsichtlich der ausländerrechtlichen Beurteilung der Rückfallgefahr im Falle des Beschwerdeführers auf die Erwägungen des BGer verwiesen werden (E.4.4.2). Sodann ist aus spezifisch ausländerrechtlicher Perspektive entscheidend, dass die seit Begehung seiner letzten und schwersten Tat am 29. März 2010 (Tötungsdelikt) vergangenen fünf Jahre angesichts der Schwere seines strafrechtlichen Fehlverhaltens zu kurz bemessen sind, als dass sie die vormals gegebene qualifizierte Gefährdungslage entscheidend relativieren könnten. Dies gilt umso mehr, als sich der Beschwerdeführer während dieser Zeitspanne im Strafvollzug befand und er anschliessend unter dem Druck eines hängigen Bewilligungsverfahrens und einer laufenden strafrechtlichen Probezeit stand (vgl. etwa Urteil des BGer 2C_530/2014 vom 22. Januar 2015 E. 4.2). Tritt hinzu, dass der Beschwerdeführer im Zeitpunkt der Tatbegehung am 29. März 2010 bereits viermal verurteilt worden war, einmal davon wegen versuchten Raubs. Sodann wurde der Beschwerdeführer mit Strafbefehl vom 17. Februar 2015 - nunmehr wegen rechtswidriger Einreise und rechtswidrigem Aufenthalt - einer unbedingten Freiheitsstrafe von 90 Tagen bestraft nachdem er nur wenige Tage nach seiner Ausreise am 13. Mai 2014, anfangs Juni 2014, in die Schweiz zurückkehrte und sich bis zu seiner Verhaftung am 2. Januar 2015 illegal in der Schweiz aufhielt. Damit hat er bewiesen, dass er auch künftig nicht gewillt ist, das von ihm geforderte bedingungslose Wohlverhalten an den Tag zu legen.</w:t>
      </w:r>
    </w:p>
    <w:p>
      <w:r>
        <w:rPr>
          <w:b/>
        </w:rPr>
        <w:t>E. 5.6</w:t>
      </w:r>
    </w:p>
    <w:p>
      <w:r>
        <w:t>Damit ist festzustellen, dass beim Beschwerdeführer auch heute noch von einer schwerwie­genden Gefahr für die öffentliche Sicherheit und Ordnung aus­zugehen und eine Überschreitung der fünfjährigen Regelhöchstdauer des Einreiseverbots gemäss Art. 67 Abs. 3 AuG demnach geboten ist.</w:t>
      </w:r>
    </w:p>
    <w:p>
      <w:r>
        <w:rPr>
          <w:b/>
        </w:rPr>
        <w:t>E. 6</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Vom Beschwerdeführer geht, wie weiter oben ausgeführt wurde, nach wie vor eine schwerwiegende Gefahr für die öffentliche Sicherheit und Ordnung in einem besonders sensitiven Bereich aus. Dementsprechend erheblich ist das öffentliche Interesse an seiner längerfristigen Fernhaltung. Auf die Elemente, die der Einschätzung zu Grunde liegen, wurde bereits in einem anderen rechtlichen Zusammenhang eingegangen. Es sind dies das Vorhandensein einschlägiger Vorstrafen, die erneute Delinquenz nach Entlassung aus dem Strafvollzug sowie insbesondere die Schwere der verübten Straftat gegen Leib und Leben. Dem gegenüber steht die volle Geständigkeit des Beschwerdeführers im Strafverfahren, die nicht vollumfänglich negative Legalprognose, die ihm seitens des Strafgerichts ausgestellt wurde, sowie seine insgesamt positive Entwicklung während des Strafvollzugs. Diese Elemente sind jedoch, angesichts des erneuten gesetzwidrigen Verhaltens, stark zu relativieren. Die Qualifizierung der Gefahrenlage als schwerwiegend im Sinne von Art. 67 Abs. 3 zweiter Satz AuG kann nicht in Frage gestellt werden (darauf wurde bereits eingegangen) und das Ausmass der vom Beschwerdeführer ausgehenden Gefahr muss als beträchtlich eingestuft werden.</w:t>
      </w:r>
    </w:p>
    <w:p>
      <w:r>
        <w:rPr>
          <w:b/>
        </w:rPr>
        <w:t>E. 6.2</w:t>
      </w:r>
    </w:p>
    <w:p>
      <w:r>
        <w:t>In der Sache hält der Beschwerdeführer dem öffentlichen Interesse entgegen, dass er hier geboren sei, die Schule besucht, eine Lehre absolviert sowie anschliessend im selben Betrieb weiter gearbeitet habe. Zudem habe er auch nach der Haftentlassung wieder eine Stelle gefunden. Seine Familie lebe in der Schweiz und er pflege zu ihr einen intensiven Kontakt. Zudem sei er mit einer Schweizer Bürgerin verheiratet.</w:t>
      </w:r>
    </w:p>
    <w:p>
      <w:r>
        <w:rPr>
          <w:b/>
        </w:rPr>
        <w:t>E. 6.3</w:t>
      </w:r>
    </w:p>
    <w:p>
      <w:r>
        <w:t>Es ist darauf hinzuweisen, dass es in der vorliegenden Streitsache nicht um ein Aufenthaltsrecht geht (darüber wurde bereits rechtskräftig befunden), sondern um eine Fernhaltemassnahme. Entsprechende Interessen wären im Rahmen eines Gesuchs um Familiennachzug zu prüfen und könnten bei Vorliegen eines positiven Entscheides der kantonalen Behörden zur wiedererwägungsweisen Aufhebung der Fernhaltemassnahme führen. Der Beschwerdeführer macht geltend, seine Ehefrau habe ein Gesuch um Familiennachzug gestellt, über dessen Ausgang noch nicht entschieden worden sei. Die Frage der Aufenthaltsregelung geht denn auch einem Entscheid über die Fernhaltemassnahme vor (vgl. Urteil des BGer 2C_793/2008 vom 27. März 2009 E. 3.2 m.H.). Im vorliegenden Zusammenhang lautet die Frage, ob die durch die Fernhaltemassnahme zusätzlich bewirkte Erschwernis des Privat- und Familienlebens vor Art. 8 Ziff. 1 EMRK und Art. 13 Abs. 1 BV standhält. Sodann geht mit dem Einreiseverbot kein absolutes Verbot der Einreise in die Schweiz einher. Denn es besteht die Möglichkeit, aus wichtigen Gründen mittels begründetem Gesuch die zeitweilige Suspension der angeordneten Fernhaltemassnahme zu beantragen (Art. 67 Abs. 5 AuG). Eine solche wird aber praxisgemäss jeweils nur für eine kurze und klar begrenzte Zeit gewährt. In diesem eingeschränkten Rahmen kann den Interessen des Beschwerdeführers Rechnung getragen werden. Zudem steht der Kontaktpflege durch persönliche Treffen ausserhalb des Schengen-Raums nichts entgegen. Hinsichtlich der Ehe mit einer Schweizer Bürgerin ist sodann darauf hinzuweisen, dass sich der Beschwerdeführer noch während des Aufenthaltsbeendigungsverfahrens angeblich in einer sechsjährigen Beziehung mit einer anderen Frau befand (vgl. Urteil des BGer 2C_893/2013 vom 24. März 2014 E. 4.2.2). Der Umstand, dass er sich knapp zwei Monate später mit einer Schweizer Bürgerin verheiratete, ist daher zu relativieren, schafft das Recht auf Familienleben doch ohnehin keinen Anspruch auf Aufenthalt in einem bestimmten Staat. Den Ehegatten musste zum Zeitpunkt der Heirat bewusst gewesen sein, dass sie ihre Ehe unter den gegebenen Umständen für längere Zeit nicht in der Schweiz führen können. Wenn sie sich zudem gegen ein gemeinsames Leben in der Heimat des Beschwerdeführers entschieden haben, so sind sie für die sich daraus ergebende Erschwernis der ehelichen Kontakte in erster Linie selbst verantwortlich. Soweit im Einreiseverbot überhaupt ein relevanter Eingriff in das Familien- und Privatleben erblickt werden kann, ist er durch das öffentliche Fernhalteinteresse gedeckt. Das ändert jedoch nichts daran, dass wesentliche Lebensinteressen des Beschwerdeführers in der Schweiz liegen. Doch auch diesen kommt, angesichts der vom Beschwerdeführer ausgehenden schweren Gefahr, keine überragende Bedeutung zu.</w:t>
      </w:r>
    </w:p>
    <w:p>
      <w:r>
        <w:rPr>
          <w:b/>
        </w:rPr>
        <w:t>E. 6.4</w:t>
      </w:r>
    </w:p>
    <w:p>
      <w:r>
        <w:t>Eine wertende Gewichtung der sich entgegenstehenden Interessen führt das Bundesverwaltungsgericht zum Ergebnis, dass das auf 15 Jahre bemessene Einreiseverbot eine verhältnismässige und angemessene Massnahme zum Schutz der öffentlichen Sicherheit und Ordnung darstellt und daher grundsätzlich nicht zu beanstanden ist.</w:t>
      </w:r>
    </w:p>
    <w:p>
      <w:r>
        <w:rPr>
          <w:b/>
        </w:rPr>
        <w:t>E. 7</w:t>
      </w:r>
    </w:p>
    <w:p>
      <w:r>
        <w:t>Die angefochtene Verfügung erweist sich somit im Lichte von Art. 49 VwVG als rechtmässig. Die Beschwerde ist demzufolge abzuweisen.</w:t>
      </w:r>
    </w:p>
    <w:p>
      <w:r>
        <w:rPr>
          <w:b/>
        </w:rPr>
        <w:t>E. 8.1</w:t>
      </w:r>
    </w:p>
    <w:p>
      <w:r>
        <w:t>Der Beschwerdeführer stellt sodann den Antrag um unentgeltliche Rechtspflege samt Rechtsverbeiständung.</w:t>
      </w:r>
    </w:p>
    <w:p>
      <w:r>
        <w:rPr>
          <w:b/>
        </w:rPr>
        <w:t>E. 8.2</w:t>
      </w:r>
    </w:p>
    <w:p>
      <w:r>
        <w:t>Gemäss Art. 65 Abs. 1 VwVG wird eine Partei, die nicht über die erfor­derlichen Mittel verfügt, auf Antrag hin von der Pflicht zur Bezahlung der Verfahrenskosten befreit, wenn ihr Begehren im Zeitpunkt der Ge­suchseinreichung nicht aussichtslos erscheint. Sofern es zur Wahrung ihrer Rechte als notwendig erscheint, wird ihr gemäss Art. 65 Abs. 2 VwVG ausserdem ein unentgeltli­cher Rechtsbeistand beigeordnet. Als bedürftig im Sinne des Gesetzes gelten dabei Personen, die nicht in der Lage sind, für die Prozesskosten aufzukommen, ohne dass sie Mit­tel beanspruchen müssten, die zur Deckung des Grundbedarfs für sie und ihre Familie notwendig sind (BGE 128 I 225 E. 2.5.1; 127 I 202 E. 3b). Die prozessuale Bedürftigkeit beurteilt sich nach der ge­samten wirt­schaftlichen Situation des Rechtssuchenden unter Einschluss der wirtschaftlichen Verhältnisse seines Ehegatten (BGE 124 I 1 E. 2a mit Hinweisen; Urteil des BGer 5P.346/2005 vom 15. November 2005 E. 4 und I 491/02 vom 10. Febru­ar 2003 E. 3.2). Der Nachweis der Be­dürftigkeit obliegt dem Gesuch­steller (Urteil des BGer 2A.502/2006 vom 4. Januar 2007. E. 4.1).</w:t>
      </w:r>
    </w:p>
    <w:p>
      <w:r>
        <w:rPr>
          <w:b/>
        </w:rPr>
        <w:t>E. 8.3</w:t>
      </w:r>
    </w:p>
    <w:p>
      <w:r>
        <w:t>Die behauptete Bedürftigkeit des Beschwerdeführers wird - trotz zweimaliger Fristerstreckung zur Einreichung entsprechender Belege - weder ausgewiesen noch ist sie gerichtsnotorisch. Er macht zwar geltend, dass er in seiner Heimat nicht in der Lage sei, ein den schweizerischen Verhältnissen entsprechendes Einkommen zu erzielen, weshalb davon auszugehen sei, dass er nicht in der Lage sei, für die Kosten des Verfahrens aufzukommen. Dabei verkennt er jedoch, dass zur Beurteilung der Bedürftigkeit die gesamte wirtschaftliche Situation zur Zeit der Gesuchstellung massgebend ist, und dass einerseits den finanziellen Verpflichtungen Rechnung zu tragen ist, andererseits nicht nur die Einkünfte, sondern auch die Vermögenssituation der gesuchstellenden Person beachtlich ist. Zudem sind bei der Feststellung der prozessualen Bedürftigkeit auch die Einkünfte der Ehefrau zu berücksichtigen (vgl. Verwaltungspraxis der Bundesbehörden [VPB] 64.97). Wohl ist davon auszugehen, dass diese ein regelmässiges Einkommen in der Schweiz erwirtschaftet, doch fehlen Belege, welche einen Überblick über ihre wirtschaftliche Situation geben könnten. Da die wirtschaftlichen Verhältnisse des Beschwerdeführers nicht belegt sind, ist das Gesuch um Gewährung der unentgeltlichen Rechtspflege abzuweisen. Nach dem Gesagten ist bereits eine der kumulativ erforderlichen Voraussetzungen für die Gewährung der unentgeltlichen Rechtspflege im Sinne von Art. 65 Abs. 1 und 2 VwVG nicht erfüllt, weshalb sich weitere Ausführungen über die Aussichtslosigkeit der vom Beschwerdeführer gestellten Begehren erübrigen.</w:t>
      </w:r>
    </w:p>
    <w:p>
      <w:r>
        <w:rPr>
          <w:b/>
        </w:rPr>
        <w:t>E. 9</w:t>
      </w:r>
    </w:p>
    <w:p>
      <w:r>
        <w:t>Insoweit die Beschwerde nicht durch Wiedererwägung gegenstandslos geworden ist, hat der in den verbleibenden Punkten unterliegende Beschwerdeführer die ermässigten Verfahrenskosten von Fr. 800.- zu tragen (vgl. Art. 58 Abs. 3 i.V.m. Art. 63 VwVG; Art. 1 ff. des Reglements vom 21. Februar 2008 über die Kosten und Entschädigungen vor dem Bundesverwaltungsgericht [VGKE, SR 173.320.2]). Dem Beschwerdeführer ist im Umfang, in dem die Beschwerde zufolge Wiedererwägung gegenstandslos geworden ist, zu Lasten der Vorinstanz eine gekürzte Parteientschädigung zuzusprechen (vgl. Art. 64 VwVG, Art. 7 ff. VGKE sowie Art. 15 i.V.m. Art. 5 VGKE). Diese wird mangels Kostennote nach gerichtlichem Ermessen und in Würdigung sämtlicher Bemessungsfaktoren auf Fr. 600.- festgesetzt (inkl. Auslagen, exkl. MwSt., vgl. Art. 9 und Art. 14 VGKE, Art. 1 Abs. 2 Bst. a und Art. 8 Abs. 1 MWSTG).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