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C-3421/2008 vom 23. September 2011</w:t>
      </w:r>
    </w:p>
    <w:p>
      <w:r>
        <w:t>Bundesverwaltungsgericht, 2011-09-23, FR</w:t>
      </w:r>
    </w:p>
    <w:p>
      <w:r>
        <w:rPr>
          <w:b/>
        </w:rPr>
        <w:t xml:space="preserve">Quelle: </w:t>
      </w:r>
      <w:r>
        <w:t>https://mcp.opencaselaw.ch/entscheid/bvger_C-3421_2008</w:t>
      </w:r>
    </w:p>
    <w:p>
      <w:r>
        <w:t>FR: TAF C-3421/2008 du 23 septembre 2011</w:t>
      </w:r>
    </w:p>
    <w:p>
      <w:r>
        <w:t>IT: TAF C-3421/2008 del 23 settembre 2011</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de renvoi cantonale prononcées par l'ODM - lequel constitue une unité de l'administration fédérale telle que définie à l'art. 33 let. d LTAF -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soit notamment le règlement d'exécution du 1er mars 1949 de la loi fédérale sur le séjour et l'établissement des étrangers tel qu'en vigueur à cette époque (RSEE, RO 1949 I 232). S'agissant des procédures qui sont antérieures à l'entrée en vigueur de la LEtr, l'ancien droit (matériel) est applicable, en vertu de la réglementation transitoire de l'art. 126 al. 1 LEtr. En l'occurrence, la procédure de renvoi de X._______, qui a débuté avec la décision du SPOP-VD du 25 juin 2007 lui refusant le renouvellement de son autorisation de séjour et prononçant son renvoi du territoire cantonal, a été initiée avant l'entrée en vigueur de la LEtr, de sorte que l'ancien droit matériel est applicable conformément à l'art. 126 al. 1 LEtr (cf. en ce sens ATAF 2008/1 consid. 2 et arrêt du Tribunal C-3306/2009 du 11 mars 2010 consid. 1.2, ainsi que la jurisprudence citée). En revanche, conformément à la réglementation de l'art. 126 al. 2 LEtr, la procédure est régie par le nouveau droit. A moins que la LTAF n'en dispose autrement, la procédure devant le Tribunal est régie par la PA (cf. art. 37 LTAF). 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il n'est pas lié par les motifs invoqués à l'appui du recours. Aussi peut-il admettre ou rejeter le pourvoi pour d'autres motifs que ceux invoqués. Dans son arrêt, il prend en considération l'état de fait régnant au moment où il statue (cf. ATAF 2011/1 consid. 2). 3.1. En vertu de l'art. 12 al. 3 phr. 1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 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 3.2. Lorsque l'extension à tout le territoire de la Confédération de la décision cantonale de renvoi est considérée comme fondée quant à son principe, il appartient encore à l'autorité d'examiner si l'intéressé remplit les conditions d'application de l'art. 14a al. 1 LSEE et doit, donc, être mis au bénéfice d'une admission provisoire en raison du caractère impossible, illicite ou inexigible de l'exécution de son renvoi. A cet égard, il sied de rappeler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sur la problématique de l'extension du renvoi cantonal notamment les arrêts du Tribunal C-621/2006 du 28 mai 2010 consid. 5, C-759/2008 du 2 février 2010 consid. 3 et C-1825/2009 du 26 octobre 2009 consid. 3, ainsi que la jurisprudence et la doctrine citées). 4.1. En l'espèce, la décision du SPOP-VD du 25 juin 2007 refusant de prolonger l'autorisation de séjour dont bénéficiait X._______ et prononçant le renvoi de l'intéressé du territoire cantonal a été confirmée par le Tribunal administratif du canton de Vaud le 31 octobre 2007 et n'a fait l'objet d'aucun recours au Tribunal fédéral. Aussi, le prononcé du SPOP-VD a acquis force de chose jugée et, partant, est exécutoire. Il convient encore de préciser que la demande de réexamen déposée le 14 mai 2010 tendant à l'octroi d'une autorisation de séjour par regroupement familial (art. 44 LEtr) a également été rejetée par décision du SPOP-VD du 18 juin 2010, entrée en force faute de recours. L'intéressé, à défaut d'être encore au bénéfice d'un titre de séjour, n'est donc plus autorisé à résider légalement sur le territoire vaudois. 4.2. Par ailleurs, l'autorité intimée n'a pas jugé nécessaire de renoncer à l'extension du renvoi à tout le territoire de la Suisse, ce qui ne saurait être contesté dans la mesure où il ne ressort pas du dossier que le recourant, qui n'est jamais prévalu d'attaches particulières avec un canton autre que celui de Vaud, aurait engagé, à la suite des décisions négatives rendues par les autorités vaudoises, une nouvelle procédure d'autorisation dans un canton tiers qui se serait déclaré disposé à régler ses conditions de séjour sur son propre territoire (cf. notamment arrêts du Tribunal C-621/2006 précité, consid. 6.2, et C-3306/2009 précité, consid. 4.2).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w:t>
      </w:r>
    </w:p>
    <w:p>
      <w:r>
        <w:t>La décision de renvoi de Suisse étant confirmée dans son principe, il convient encore d'examiner s'il se justifie, en application de l'art. 14aal. 1 LSEE, d'inviter l'autorité intimée à prononcer l'admission provisoire du recourant en raison du caractère impossible, illicite ou inexigible de l'exécution de son renvoi.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la licéité que le Tribunal entend porter son examen.</w:t>
      </w:r>
    </w:p>
    <w:p>
      <w:r>
        <w:rPr>
          <w:b/>
        </w:rPr>
        <w:t>E. 7</w:t>
      </w:r>
    </w:p>
    <w:p>
      <w:r>
        <w:t>S'agissant de la licéité de l'exécution du renvoi, il convient d'examiner si celle-ci serait contraire aux engagements de la Suisse relevant du droit international.</w:t>
      </w:r>
    </w:p>
    <w:p>
      <w:r>
        <w:rPr>
          <w:b/>
        </w:rPr>
        <w:t>E. 7.1</w:t>
      </w:r>
    </w:p>
    <w:p>
      <w:r>
        <w:t>Dans son recours, l'intéressé a fait valoir notamment que l'exécution de son renvoi entraînerait la violation de l'art. 8 CEDH en ce sens qu'il serait séparé de son épouse et de son enfant, ainsi que des autres membres de sa famille (parents, frère et soeurs) résidant en Suisse, et qu'il devrait ainsi quitter ce pays où il était arrivé à l'âge de seize ans et avait passé l'essentiel de sa vie.</w:t>
      </w:r>
    </w:p>
    <w:p>
      <w:r>
        <w:rPr>
          <w:b/>
        </w:rPr>
        <w:t>E. 7.2</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effective et intacte (ATF 135 I 143 consid. 1.3.1 p. 145s., ATF 130 II 281 consid. 3.1 p. 285; ATAF 2007/45 consid. 5.3 p. 591s. et la jurisprudence citée). Les relations visées à l'art. 8 CEDH sont avant tout celles qui existent entre époux, ainsi que les relations entre parents et enfants mineurs vivant en ménage commun (cf. notamment ATF 135 I 143 consid. 1.3.2 p. 146). En l'occurrence, le recourant vit actuellement avec Y._______, qu'il a épousée en Suisse le 2 septembre 2002, et leur fille, née à Lausanne le 18 avril 2003. Toutes les deux sont au bénéfice d'une autorisation de séjour annuelle délivrée par l'ODM le 22 janvier 2010 en application de l'art. 84 al. 5 LEtr (cas individuel d'une extrême gravité). Il paraît douteux (cf. notamment arrêts du Tribunal fédéral 2A.58/2003 du 14 février 2003 et 2A.342/2002 du 15 août 2002 consid. 1.2) que, sur la base de ce type d'autorisation, ces dernières disposent d'un droit de présence assuré en Suisse permettant d'invoquer l'application de l'art. 8 CEDH sous l'angle de la protection de la vie familiale, ce qui au demeurant a été dénié par le SPOP-VD dans sa décision du 18 juin 2010. Cette question est toutefois sans incidence sur l'issue du litige, puisque le recourant peut aussi invoquer, au vu des circonstances particulières de la cause (en particulier compte tenu de la longue durée de son séjour en Suisse et de l'intensité des liens qu'il y a tissés), l'aspect de la protection de la vie privée au sens de la même disposition, ses relations familiales pouvant au demeurant être également prises en considération dans ce contexte (cf. à ce sujet l'arrêt de la Cour EDH Osman c. Danemark, du 14 juin 2011, Requête no 38058/09, § 55).</w:t>
      </w:r>
    </w:p>
    <w:p>
      <w:r>
        <w:rPr>
          <w:b/>
        </w:rPr>
        <w:t>E. 7.3</w:t>
      </w:r>
    </w:p>
    <w:p>
      <w:r>
        <w:t>S'agissant du droit au respect de la vie privée au sens de l'art. 8 par. 1 CEDH, la jurisprudence a précisé quelles sont les conditions strictes qui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(ATF 130 II 281 consid. 3.2.1 p. 286 s. et la jurisprudence citée; cf. en outre art. 34 al. 2 lettre a LEtr s'agissant du nouveau droit). Selon la doctrine, le droit à la protection de la vie privée, garanti par l'art. 8 par. 1 CEDH, peut fonder un droit de présence en Suisse, notamment lorsque l'intéressé a déjà séjourné longtemps dans notre pays et y dispose d'un réseau de relations personnelles et professionnelles particulièrement dense (Peter Uebersax, Einreise und Anwesenheit, in: Uebersax/Rudin/Hugi Yar/ Geiser [éd.], Ausländerrecht, 2ème éd., Bâle 2009, no 7.127). Le droit à la protection de la vie privée a un champ d'application plus étendu que le droit à la protection de la vie familiale (cf. arrêt du Tribunal fédéral 2C_266/2009 du 2 février 2010 consid. 3.2).</w:t>
      </w:r>
    </w:p>
    <w:p>
      <w:r>
        <w:rPr>
          <w:b/>
        </w:rPr>
        <w:t>E. 7.4</w:t>
      </w:r>
    </w:p>
    <w:p>
      <w:r>
        <w:t>Le prononcé d'une mesure d'éloignement (expulsion, renvoi, interdiction d'entrée) à l'égard d'un étranger ayant enfreint l'ordre public doit cependant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(ATF 135 II 377 consid. 4.3 p. 381s., ATF 135 II 10 consid. 2.1 p. 112, ATF 134 II 1 consid. 2.2 p. 3, ATF 134 II 10 consid. 4.1 et 4.2 p. 22s., ATF 130 II 176 consid. 3.3.4 et 3.4.2 p. 182ss, et la jurisprudence).</w:t>
      </w:r>
    </w:p>
    <w:p>
      <w:r>
        <w:rPr>
          <w:b/>
        </w:rPr>
        <w:t>E. 7.5</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à prendre en considération. Le risque de récidive est un facteur important permettant d'apprécier le danger que présente un étranger pour l'ordre public (cf. ATF 134 II 10 consid. 4.2 p. 23, ATF 120 Ib 6 consid. 4c p. 15/16). Dans la balance des intérêts, l'autorité compétente en matière de droit des étrangers s'inspire de considérations différentes de celles qui guident l'autorité pénale, qui prend en compte les perspectives de réinsertion sociale du condamné. Pour la première autorité citée, c'est la préoccupation de l'ordre et de la sécurité publics qui est prépondérante. Il en découle que son appréciation peut avoir, pour l'intéressé, des conséquences plus rigoureuses que celle de l'autorité pénale (cf. dans ce sens ATF 130 II 493 consid. 4.2 p. 500 et les références citées, arrêt du Tribunal fédéral 2C_341/2008 du 30 octobre 2008 consid. 9.3).</w:t>
      </w:r>
    </w:p>
    <w:p>
      <w:r>
        <w:rPr>
          <w:b/>
        </w:rPr>
        <w:t>E. 7.6</w:t>
      </w:r>
    </w:p>
    <w:p>
      <w:r>
        <w:t>Cela étant, il est encore à relever que si une ingérence dans le droit au respect de la vie privée et familiale du recourant est possible dans le cadre de la défense de l'ordre et à la prévention des infractions pénales prévue par l'art. 8 par. 2 CEDH, la Cour européenne des droits de l'homme (Cour EDH) a établi une série de critères à prendre en considération lorsque des étrangers adultes qui font l'objet de mesure d'éloignement se prévalent de leur intégration et que leur situation relève plutôt de la protection de la vie privée au sens de l'art. 8 par. 1 CEDH (cf. arrêts de la Cour EDH Gezginci c. Suisse, du 9 décembre 2010, Requête no 16327/05, § 60 et jurisprudence citée; A. W. Khan c. Royaume-Uni, du 12 janvier 2010, Requête no 47486/06, § 39; Onur c. Royaume-Uni, du 17 février 2009, Requête no 27319/07, § 54) : - la nature et la gravité des infractions commises par le requérant ; - la durée du séjour de l'intéressé dans le pays dont il doit être expulsé ; - le laps de temps qui s'est écoulé depuis la commission des infractions et la conduite du requérant durant cette période ; - la nationalité des personnes concernées; - la situation familiale du requérant, par exemple la durée de son mariage, et d'autres éléments dénotant le caractère effectif de la vie familiale d'un couple; - le point de savoir si le conjoint était au courant de l'infraction au début de la relation familiale; - la naissance d'enfants légitimes et, le cas échéant, leur âge; - la gravité des difficultés que risque de connaître le conjoint dans le pays d'origine de son époux ou épouse; - l'intérêt et le bien-être de l'enfant, en particulier la gravité des difficultés que risque de connaître ce dernier dans le pays d'origine du requérant; - la solidité des liens sociaux, culturels et familiaux avec le pays hôte et avec le pays de destination.</w:t>
      </w:r>
    </w:p>
    <w:p>
      <w:r>
        <w:rPr>
          <w:b/>
        </w:rPr>
        <w:t>E. 7.7</w:t>
      </w:r>
    </w:p>
    <w:p>
      <w:r>
        <w:t>En l'occurrence, X._______ a été condamné à plusieurs reprises (cf. consid. A.b, A.e, A.j, A.l, E) et a subi des peines d'une quotité totale de dix-neuf mois et vingt-cinq jours. Il est à noter que les peines privatives de liberté, prononcées dans les jugements s'étalant entre 2000 et 2002 notamment pour des infractions contre l'intégrité corporelle d'autrui impliquant une certaine violence, concernaient des faits remontant à 1998 et 1999. Outre les condamnations du Tribunal correctionnel de l'arrondissement de Lausanne du 28 juin 2001 et du 30 septembre 2002 (confirmées sur recours les 30 octobre 2001 et 3 février 2003 par la Cour de cassation pénale du Tribunal cantonal vaudois), le recourant a encore fait l'objet entre 2007 et 2008 de trois condamnations à des peines pécuniaires pour des infractions à la LCR et une contravention à la LStup. Le recourant a ainsi commis des infractions de manière répétée, surtout entre 1998 et 2000, en faisant parfois usage de violence, et les juges pénaux ont, en particulier, relevé (cf. jugement du 28 juin 2001, p. 36) que les antécédents de l'accusé et les récidives en cours d'enquête ne permettaient pas de fonder un pronostic favorable. A la décharge de l'intéressé, et sans chercher à minimiser les infractions commises entre 2007 et 2008, les faits les plus graves pour lesquels il a été condamné remontent à plus de douze ans et, de ce fait, doivent être relativisés eu égard au principe de proportionnalité. Il faut en effet relever que postérieurement à l'exécution de sa dernière peine d'emprisonnement, dont le terme était fixé au 13 décembre 2003, le recourant n'a fait l'objet que de condamnations, pour des infractions mineures, à des peines pécuniaires. L'intéressé, qui a retrouvé un travail après l'exécution de sa peine, occupe un emploi stable depuis le mois d'octobre 2006. Au vu de ce qui précède, il apparaît qu'un pronostic favorable peut dorénavant être posé, le recourant semblant avoir tourné le dos à la délinquance et ayant déployé de grands efforts en vue de se réinsérer dans la société suite à son incarcération.</w:t>
      </w:r>
    </w:p>
    <w:p>
      <w:r>
        <w:rPr>
          <w:b/>
        </w:rPr>
        <w:t>E. 7.8</w:t>
      </w:r>
    </w:p>
    <w:p>
      <w:r>
        <w:t>A cela s'ajoute le fait que l'intéressé est entré en Suisse à l'âge de seize ans pour y rejoindre sa famille et qu'il y a vécu la fin de son adolescence et ses premières années de jeune adulte, années déterminantes pour son développement personnel (cf. en ce sens ATF 123 II 125 consid. 4). Dans ce contexte, il apparaît que l'intéressé, qui a passé vingt-trois années en Suisse, soit plus de la moitié de sa vie, est aujourd'hui bien intégré au niveau professionnel. Par ailleurs, il n'a plus aucun lien avec son pays d'origine, où il n'est plus retourné depuis 1988. En outre, l'intéressé, qui est marié depuis le 2 septembre 2002, vit depuis lors avec son épouse et leur fille, née en avril 2003, et entretient des relations étroites avec celles-ci. Même si Y._______ était au courant des condamnations de son époux au moment où elle a contracté mariage, elle a été mise au bénéfice d'une admission provisoire au mois d'octobre 2002, l'exécution de son renvoi ayant été considéré comme inexigible par l'ODM. L'enfant né par la suite a été mise au bénéfice de la même admission provisoire par décision de l'ODM. Cette admission provisoire a ensuite été transformée par l'ODM en janvier 2010 en autorisation de séjour en raison du fait que les intéressées remplissaient les critères fixés par l'art. 84 al. 5 LEtr notamment en matière d'intégration et d'inexigibilité de l'exécution du renvoi. Dans ces circonstances, le Tribunal estime que l'épouse de l'intéressé pourrait rencontrer de sérieuses difficultés en cas de retour au Sri Lanka, au vu notamment de l'absence de liens avec ce pays depuis 2002 et son intégration en Suisse. L'intérêt de l'enfant, aujourd'hui âgée de huit ans et demi et scolarisée, doit également être pris en considération (cf. consid. 7.6). En outre, il est à noter que les parents les plus proches du recourant, avec lesquels il a gardé des contacts étroits (cf. en ce sens les lettres de soutien adressées en décembre 2003 aux autorités pénitentiaires vaudoises), résident en Suisse en tant que titulaires soit de permis d'établissement (parents), soit de la nationalité suisse (frère, soeurs).</w:t>
      </w:r>
    </w:p>
    <w:p>
      <w:r>
        <w:rPr>
          <w:b/>
        </w:rPr>
        <w:t>E. 7.9</w:t>
      </w:r>
    </w:p>
    <w:p>
      <w:r>
        <w:t>Il ressort en définitive de ce qui précède que malgré les infractions relativement mineures commises en 2007 et 2008, tout indique que X._______ a désormais trouvé un équilibre dans sa vie, grâce à son entourage familial, qu'il bénéficie d'un emploi stable et semble ainsi avoir tourné le dos à la délinquance. Sur un autre plan, l'exécution de son renvoi aurait pour résultat de séparer une famille unie et d'obliger l'intéressé à retourner dans un pays qu'il a quitté à l'âge de seize ans et avec lequel il n'a plus eu de contact depuis lors. Bien qu'il faille admettre qu'il s'agit ici d'un cas limite, il apparaît néanmoins que l'évolution de la situation est telle que l'intérêt public - ayant été jugé comme devant l'emporter sur les intérêts privés du recourant par la décision du SPOP-VD du 25 juin 2007 entrée en force - peut être relégué au second plan. Par conséquent, au vu de la durée du séjour en Suisse du recourant, de la présence de sa famille dans ce pays ainsi que de l'évolution positive dont il a fait preuve depuis sa sortie de prison en 2003 (malgré les condamnations à des jours-amendes survenues en 2007 et 2008), le Tribunal estime tout bien considéré que le respect de la vie privée de l'intéressé l'emporte désormais sur l'intérêt public à son éloignement eu égard à l'art. 8 CEDH. Dans ces conditions, il y a lieu de considérer l'exécution du renvoi comme étant illicite et de prononcer une admission provisoire.</w:t>
      </w:r>
    </w:p>
    <w:p>
      <w:r>
        <w:rPr>
          <w:b/>
        </w:rPr>
        <w:t>E. 7.10</w:t>
      </w:r>
    </w:p>
    <w:p>
      <w:r>
        <w:t>Il appartiendra toutefois à l'intéressé de démontrer qu'il entend poursuivre dans la ligne suivie dernièrement et aux autorités cantonales compétentes de s'assurer, lors du réexamen de ses conditions de séjour, que tel est le cas, notamment sur le plan pénal, et, cas contraire, de prendre les mesures qui s'imposent.</w:t>
      </w:r>
    </w:p>
    <w:p>
      <w:r>
        <w:rPr>
          <w:b/>
        </w:rPr>
        <w:t>E. 7.11</w:t>
      </w:r>
    </w:p>
    <w:p>
      <w:r>
        <w:t>Considérant ce qui précède, le Tribunal considère qu'il s'avère superflu d'examiner le caractère raisonnablement exigible et possible de l'exécution du renvoi du recourant. En conséquence, il y a lieu de constater que la décision de l'ODM en matière d'extension à tout le territoire de la Confédération d'une décision cantonale de renvoi est fondée dans son principe, mais que le recours, en tant qu'il porte sur l'exécution du renvoi, doit être admis et la décision attaquée annulée sur ce point. L'ODM est ainsi invité à mettre le recourant au bénéfice d'une admission provisoire. Dans la mesure où le recourant a conclu à ce qu'il soit mis au bénéfice de l'admission provisoire, il obtient gain de cause et peut prétendre à l'octroi de dépens (cf. art. 64 al. 1 PA en relation avec l'art. 7 al. 2 du règlement du 21 février 2008 concernant les frais, dépens et indemnités fixés par le Tribunal administratif fédéral [FITAF, RS 173.320.2]). Au vu de l'ensemble des circonstances du cas, le Tribunal estime, au regard des art. 8 ss FITAF, que le versement d'un montant de 1'100 francs à titre de dépens (TVA comprise) apparaît comme équitable en la présente cause. Compte tenu de l'issue de la cause, il n'est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