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C-3412/2008 vom 26. Januar 2009</w:t>
      </w:r>
    </w:p>
    <w:p>
      <w:r>
        <w:t>Bundesverwaltungsgericht, 2009-01-26, FR</w:t>
      </w:r>
    </w:p>
    <w:p>
      <w:r>
        <w:rPr>
          <w:b/>
        </w:rPr>
        <w:t xml:space="preserve">Quelle: </w:t>
      </w:r>
      <w:r>
        <w:t>https://mcp.opencaselaw.ch/entscheid/bvger_C-3412_2008</w:t>
      </w:r>
    </w:p>
    <w:p>
      <w:r>
        <w:t>FR: TAF C-3412/2008 du 26 janvier 2009</w:t>
      </w:r>
    </w:p>
    <w:p>
      <w:r>
        <w:t>IT: TAF C-3412/2008 del 26 gennaio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d'exception aux mesures de limitation prononcées par l'ODM - lequel constitue une unité de l'administration fédérale telle que définie à l'art. 33 let. d LTAF - sont susceptibles de recours au TAF, qui statue définitivement (art. 1 al. 2 LTAF en relation avec l'art. 83 let. c ch. 5 de la loi fédérale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l'OLE. Cependant, dès lors que la demande de réexamen qui est l'objet de l'actuelle procédure de recours a été déposée avant l'entrée en vigueur de la LEtr, l'ancien droit matériel reste applicable à la présente cause (art. 126 al. 1 LEtr). En revanche, conformément à l'art. 126 al. 2 LEtr, la procédure relative aux demandes déposées avant l'entrée en vigueur de la LEtr est régie par le nouveau droit. A moins que la LTAF n'en dispose autrement, la procédure devant le TAF est régie par la PA (art. 37 LTAF).</w:t>
      </w:r>
    </w:p>
    <w:p>
      <w:r>
        <w:rPr>
          <w:b/>
        </w:rPr>
        <w:t>E. 1.3</w:t>
      </w:r>
    </w:p>
    <w:p>
      <w:r>
        <w:t>A._______, B._______, C._______ et D._______ ont qualité pour recourir (art. 48 al. 1 PA). Présenté dans la forme et les délais prescrits par la loi, leur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ou lorsque les circonstances se sont modifiées dans une mesure notable depuis que la première décision a été rendue (cf. Semaine judiciaire 2004 I p. 393 consid. 2; ATF 127 I 133 consid. 6 et références citées; 124 II 1 consid. 3a.; JAAC 67.106 consid. 1 et réf. cit.; cf. GRISEL, op. cit., vol. II, p. 947ss). La procédure extraordinaire (de révision ou de réexamen) ne saurait toutefois servir de prétexte pour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Elle ne saurait non plus viser à supprimer une erreur de droit (ATF 111 Ib 209 consid. 1 in fine p. 211; JAAC 55.2), à bénéficier d'une nouvelle interprétation ou d'une nouvelle pratique ou encore à obtenir une nouvelle appréciation des faits qui étaient déjà connus en procédure ordinaire (ATF 98 Ia 568 consid. 5b p. 573; JAAC 53.4 consid. 4, JAAC 53.14 consid. 4; BLAISE KNAPP, Précis de droit administratif, Bâle/Francfort-sur-le-Main 1991, p. 276).</w:t>
      </w:r>
    </w:p>
    <w:p>
      <w:r>
        <w:rPr>
          <w:b/>
        </w:rPr>
        <w:t>E. 2.2</w:t>
      </w:r>
    </w:p>
    <w:p>
      <w:r>
        <w:t>Selon la pratique en vigueur en matière de révision, applicable par analogie à l'institution du réexamen (cf. URSINA BEERLI-BONORAND, Die ausserordentlichen Rechtsmittel in der Verwaltungsrechtspflege des Bundes und der Kantone, Zurich 1985,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ALFRED KÖLZ/ISABELLE HÄNER, Verwaltungsverfahren und Verwaltungsrechtspflege des Bundes, Zurich 1998, p. 156ss; KNAPP, op. cit., p. 276; GYGI, Bundesverwaltungsrechtspflege, Berne 1983, p. 262s.; JEAN-FRANÇOIS POUDRET, Commentaire de la loi fédérale d'organisation judiciaire, vol. V, Berne 1992, p. 18, 27ss et 32ss).</w:t>
      </w:r>
    </w:p>
    <w:p>
      <w:r>
        <w:rPr>
          <w:b/>
        </w:rPr>
        <w:t>E. 3</w:t>
      </w:r>
    </w:p>
    <w:p>
      <w:r>
        <w:t>En l'espèce, les recourants fondent leur demande de réexamen sur l'incapacité de travail de A._______, consécutive à un accident survenu en février 2005 et sur les difficultés que celui-ci aurait à entretenir sa famille en cas de retour en Equateur. Le Tribunal est d'abord amené à constater, au regard des certificats médicaux qui ont été successivement versés au dossier, que A._______ souffre en réalité de multiples affections de caractère durable, lesquelles sont préexistantes aussi bien à la décision sur recours du Département fédéral du 27 octobre 2006 qu'à l'arrêt du Tribunal fédéral du 21 mars 2007, lequel a clos la procédure ordinaire qu'il avait introduite en vue de l'octroi d'une exception aux mesures de limitation aux membres de sa famille. Il appert ainsi que, ni les affections précitées, ni les problèmes dorsaux invoqués, qui seraient consécutifs à un accident de travail survenu en février 2005, ne constituent des faits nouveaux qui, intervenus après le 21 mars 2007, auraient entraîné une modification substantielle de la situation de l'ensemble de sa famille. Il ressort en effet du certificat médical du Dr G._______ du 17 juin 2008 que A._______ était suivi médicalement depuis deux ans déjà pour plusieurs affections chroniques (arthrose généralisée, obésité, diabète type II, hypothyroïdie, hypertension vasculaire et état anxio-dépressif chronique). Au vu de ce qui précède, on peut se demander si l'ODM n'aurait pas été fondé à déclarer la demande de réexamen irrecevable, au motif que les intéressés se prévalaient de faits qui leur étaient déjà connus en cours de procédure ordinaire. Il s'impose au demeurant de relever que A._______ n'a nullement fait état de problèmes de santé ni devant le Département fédéral, ni devant le Tribunal fédéral, alors qu'il était dûment représenté par un mandataire professionnel, ce qui amène à fortement relativiser la gravité des affections dont il se prévaut désormais pour obtenir le réexamen de la décision rendue en procédure ordinaire. Il convient de remarquer ensuite que la présente demande de réexamen se fonde en substance sur les difficultés financières auxquelles la famille de A._______ serait confrontée en cas de retour en Equateur, en considération de l'incapacité de A._______ à y entreprendre une activité lucrative lui permettant de faire vivre sa famille. Or, il ressort du jugement du 1er mai 2007 du Tribunal correctionnel de l'arrondissement de Lausanne en la cause B._______ et F._______ que A._______ et son épouse B._______ étaient financièrement soutenus par leurs enfants domiciliés en Suisse. Il convient de souligner en outre que, dans une déclaration écrite du 21 mai 2008 jointe au recours, F._______ s'est expressément engagé à prendre en charge ses parents et son frère C._______ pour leur permettre de subvenir à leurs besoins en Suisse. Il ressort de ce qui précède que F._______ est tout aussi bien en mesure d'apporter aux membres de sa famille objets de la présente procédure le soutien financier nécessaire à leur réinstallation et à leur prise en charge en Equateur, ce d'autant plus que les frais nécessaires à assurer leur subsistance dans leur pays seront sans doute inférieurs à ceux que le prénommé s'est déclaré prêt à assumer pour financer la poursuite de leur séjour en Suisse. En considération de ce qui précède, l'incapacité de travail de A._______ et ses conséquences financières sur l'entretien de sa famille ne constituent donc pas des faits nouveaux déterminants, susceptibles de remettre en cause les décisions rendues dans le cadre de la procédure ordinaire, close par l'arrêt du Tribunal fédéral du 21 mars 2007.</w:t>
      </w:r>
    </w:p>
    <w:p>
      <w:r>
        <w:rPr>
          <w:b/>
        </w:rPr>
        <w:t>E. 4</w:t>
      </w:r>
    </w:p>
    <w:p>
      <w:r>
        <w:t>Il convient de relever au surplus que, dans sa décision du 8 juillet 2004, confirmée en dernière instance par le Tribunal fédéral, l'ODM avait déjà examiné de manière approfondie la situation personnelle des recourants et qu'il était arrivé à la conclusion qu'elle ne relevait pas de l'extrême gravité au sens de l'art. 13 let. f OLE. Or, depuis l'arrêt du Tribunal fédéral du 21 mars 2007, les intéressés ont simplement passé deux années supplémentaires en Suisse. Si la poursuite de leur séjour dans ce pays a quelque peu consolidé leurs liens avec celui-ci et si le jeune C._______ a renforcé ses attaches scolaires et sociales avec ce pays, ces éléments, qui ne sont que la conséquence du simple écoulement du temps et du refus des intéressés de se soumettre aux décisions négatives prononcées à leur endroit, ne constituent pas des faits nouveaux justifiant une nouvelle appréciation de leur situation personnelle (cf. arrêt du Tribunal fédéral 2A.180/2000 du 14 août 2000 consid. 4c; arrêt du Tribunal administratif fédéral C-1545/2008 du 8 juillet 2008 consid. 5 et jurisprudence citée).</w:t>
      </w:r>
    </w:p>
    <w:p>
      <w:r>
        <w:rPr>
          <w:b/>
        </w:rPr>
        <w:t>E. 5</w:t>
      </w:r>
    </w:p>
    <w:p>
      <w:r>
        <w:t>Le Tribunal est en conséquence amené à conclure que les recourants n'ont invoqué aucun fait nouveau déterminant qui permettrait de considérer que l'ensemble de leur famille se trouverait désormais dans une situation d'extrême gravité au sens de l'art. 13 let. f OLE et que c'est donc à bon droit que l'ODM a rejeté leur demande de réexamen du 25 octobre 2007. Le recours est en conséquence rejeté. Vu l'issue de la cause, les frais de procédure sont mis à la charge des recourants (art. 63 al. 1 PA, en relation avec l'art. 1 et l'art. 3 du règlement du 21 février 2008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