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C-3410/2020 vom 27. Januar 2022</w:t>
      </w:r>
    </w:p>
    <w:p>
      <w:r>
        <w:t>Bundesverwaltungsgericht, 2022-01-27, FR</w:t>
      </w:r>
    </w:p>
    <w:p>
      <w:r>
        <w:rPr>
          <w:b/>
        </w:rPr>
        <w:t xml:space="preserve">Quelle: </w:t>
      </w:r>
      <w:r>
        <w:t>https://mcp.opencaselaw.ch/entscheid/bvger_C-3410_2020</w:t>
      </w:r>
    </w:p>
    <w:p>
      <w:r>
        <w:t>FR: TAF C-3410/2020 du 27 janvier 2022</w:t>
      </w:r>
    </w:p>
    <w:p>
      <w:r>
        <w:t>IT: TAF C-3410/2020 del 27 gennaio 2022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(art. 31 LTAF en relation avec l'art. 33 let. d LTAF et l'art. 85bis al. 1 de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t>C-3410/2020 Page 4</w:t>
      </w:r>
    </w:p>
    <w:p>
      <w:r>
        <w:rPr>
          <w:b/>
        </w:rPr>
        <w:t>E. 2</w:t>
      </w:r>
    </w:p>
    <w:p>
      <w:r>
        <w:t>Le recourant étant un ressortissant suisse domicilié en Thaïlande, il con- vient de constater préalablement qu’aucune convention internationale en matière de sécurité sociale n’a été conclue entre la Suisse et la Thaïlande, de sorte que le droit du recourant à une rente pour enfant de l’AVS doit être tranché en application du seul droit interne suisse (arrêt du TAF C- 5722/2009 du 24 octobre 2011 consid. 2.1).</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w:t>
      </w:r>
    </w:p>
    <w:p>
      <w:r>
        <w:t>C-3410/2020 Page 5 devoir de collaborer à l’instruction (art. 13 PA et 43 al. 3 LPGA ; cf. arrêt du TAF C−6134/2017 du 3 avril 2018 consid. 5.4) et de motiver leur recours (art. 52 PA).</w:t>
      </w:r>
    </w:p>
    <w:p>
      <w:r>
        <w:rPr>
          <w:b/>
        </w:rPr>
        <w:t>E. 4.1</w:t>
      </w:r>
    </w:p>
    <w:p>
      <w:r>
        <w:t>En l’espèce, le recourant conteste le rejet de sa demande de rente pour enfant recueilli. A l’appui de son recours, il se prévaut du fait d’avoir cotisé à l’AVS depuis très jeune alors qu’il était encore étudiant en travaillant dans une fabrique d’horlogerie, puis par la suite tout au long de sa vie active de 1968 jusqu’à sa retraite. Se référant au mémento du 31 décembre 2020 sur les allocations familiales 6.08 (ci-après : mémento sur les allocations familiales), il fait en outre valoir que donnent droit aux allocations familiales, les propres enfants du requérant, les enfants adoptés par le requérant, les enfants du conjoint – et, selon le recourant, du « concubin » à l’heure actuelle – du requérant qui vivent la plupart du temps dans son ménage ou y ont vécu jusqu’à leur majorité et les enfants recueillis par le requérant si celui-ci assume de manière durable les frais d’entretien et d’éducation. Dès lors qu’il entend prendre soin du fils de sa compagne comme s’il était son propre enfant, ayant notamment transféré à cette fin de l’argent de Suisse en Thaïlande, il en déduit un droit à une rente pour enfant recueilli (TAF pce 1).</w:t>
      </w:r>
    </w:p>
    <w:p>
      <w:r>
        <w:rPr>
          <w:b/>
        </w:rPr>
        <w:t>E. 4.2</w:t>
      </w:r>
    </w:p>
    <w:p>
      <w:r>
        <w:t>Selon l’autorité inférieure, une rente pour enfant de l’AVS ne peut être octroyée pour des enfants recueillis après le début du droit à la rente de vieillesse, sauf s’il s’agit des enfants du conjoint. En l’occurrence, le recourant n’est pas marié avec la mère de l’enfant, lequel est né le (…) 2020, soit après le début du droit à la rente de vieillesse perçue par le recourant depuis le (…) 2015, de sorte qu’aucune rente ne peut être allouée au recourant, les conditions de l’art. 22ter al. 1 LAVS n’étant pas réalisées. L’autorité inférieure ajoute que le recourant ne peut tirer aucun droit à une rente complémentaire pour enfant du mémento sur les allocations familiales, ce dernier concernant les allocations familiales dont l’octroi est régi par la loi fédérale du 24 mars 2006 sur les allocations familiales et les aides financières allouées aux organisations familiales (LAFam, RS 836.2). Elle rappelle, de plus, que le mémento sur les allocations familiales ne fournit qu’un aperçu général et que, pour le règlement des cas individuels, seules les dispositions légales font foi. Par surabondance, selon l’autorité inférieure, l’art. 4 al. 1 let. b LAFam n’ouvre pas aux concubins le droit aux prestations de la LAFam, une union par mariage ou un partenariat enregistré étant nécessaire comme en matière d’AVS (TAF pce 7).</w:t>
      </w:r>
    </w:p>
    <w:p>
      <w:r>
        <w:t>C-3410/2020 Page 6</w:t>
      </w:r>
    </w:p>
    <w:p>
      <w:r>
        <w:rPr>
          <w:b/>
        </w:rPr>
        <w:t>E. 4.3</w:t>
      </w:r>
    </w:p>
    <w:p>
      <w:r>
        <w:t>Le présent litige porte ainsi sur le refus prononcé par l’autorité inférieure d’allouer au recourant une rente de vieillesse complémentaire pour enfant recueilli.</w:t>
      </w:r>
    </w:p>
    <w:p>
      <w:r>
        <w:rPr>
          <w:b/>
        </w:rPr>
        <w:t>E. 5</w:t>
      </w:r>
    </w:p>
    <w:p>
      <w:r>
        <w:t>L’octroi d’une rente pour enfant recueilli de l’AVS à des personnes bénéfi- ciant déjà d’une rente de vieillesse est régi par l’art. 22ter al. 1 LAVS.</w:t>
      </w:r>
    </w:p>
    <w:p>
      <w:r>
        <w:rPr>
          <w:b/>
        </w:rPr>
        <w:t>E. 5.1.1</w:t>
      </w:r>
    </w:p>
    <w:p>
      <w:r>
        <w:t>En vertu de cette disposition,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 Selon l'art. 25 al. 3 LAVS, le Conseil fédéral règle le droit à la rente d'orphelin pour les enfants recueillis. Faisant application de cette délégation de compétence, le Conseil fédéral a édicté l'art. 49 al. 1 du règlement sur l’assurance-vieillesse et survivants (RAVS, RS 831.101), qui prévoit que les enfants recueillis ont droit à une rente d'orphelin au décès des parents nourriciers en vertu de l'art. 25 LAVS, si ceux-ci ont assumé gratuitement et de manière durable les frais d'entretien et d'éducation. En principe, le droit à la rente s'éteint au 18e anniversaire de l'enfant ou au décès de celui-ci ; pour les enfants qui accomplissent une formation, le droit à la rente s'étend toutefois jusqu'au terme de cette formation, mais au plus jusqu'à l'âge de 25 ans révolus (art. 25 al. 4, 2e phrase, et al. 5 LAVS). L'art. 49 al. 3 RAVS prévoit en outre que le droit s'éteint si l'enfant recueilli retourne chez l'un de ses parents ou si ce dernier pourvoit à son entretien.</w:t>
      </w:r>
    </w:p>
    <w:p>
      <w:r>
        <w:rPr>
          <w:b/>
        </w:rPr>
        <w:t>E. 5.1.2</w:t>
      </w:r>
    </w:p>
    <w:p>
      <w:r>
        <w:t>Selon la jurisprudence, il y a « filiation nourricière » lorsqu'un mineur vit sous la garde de personnes qui ne sont pas ses parents. Il ne s’agit pas d’une institution juridique autonome, mais d’une relation familiale de fait, à laquelle le droit attribue certains effets de la filiation proprement dite. Du point de vue du droit des assurances sociales, l'élément essentiel du statut d'enfant recueilli réside dans le fait que les charges et les obligations d'entretien et d'éducation qui incombent habituellement aux parents naturels sont transférées de façon effective aux parents nourriciers. Les raisons de ce transfert n'ont en revanche pas d'importance ; elles fourniront tout au plus un indice sur la nature des relations entre parents nourriciers et enfant recueilli, notamment sur leur caractère de permanence et de gratuité. Les charges et les obligations incombant aux parents nourriciers,</w:t>
      </w:r>
    </w:p>
    <w:p>
      <w:r>
        <w:t>C-3410/2020 Page 7 notamment sur le plan financier, varient en fonction de la manière dont le lien nourricier s'est développé et ne peuvent être généralisées. Le lien nourricier peut se présenter sous diverses formes qui changent en fonction du but, de la durée, du type de structure d'accueil, du financement et de l'origine volontaire ou non du placement (cf. ATF 140 V 458 consid. 3.2 et réf. cit. ; arrêt du TAF C-269/2009 du 29 octobre 2010 consid. 4.2 et réf. cit.).</w:t>
      </w:r>
    </w:p>
    <w:p>
      <w:r>
        <w:rPr>
          <w:b/>
        </w:rPr>
        <w:t>E. 5.1.3</w:t>
      </w:r>
    </w:p>
    <w:p>
      <w:r>
        <w:t>Les beaux-parents de l’enfant d’un autre lit qui ont recueilli cet enfant doivent être considérés conjointement avec le propre parent de l’enfant comme parents nourriciers (cf. ATF 122 V 182 ; arrêt du TAF C-942/2007 du 8 juillet 2008 consid. 3.2 ; Directives concernant les rentes (DR) de l’assurance vieillesse, survivants et invalidité fédérale, n. marg. 3308 ; MICHEL VALTERIO, Droit de l’assurance-vieillesse et survivants [AVS] et de l’assurance-invalidité [AI] – Commentaire thématique, 2011, no 838). Le beau-parent qui recueille l’enfant de son conjoint est favorisé par rapport à la personne ordinaire qui recueille un enfant, en ce sens qu’il peut recevoir une rente pour enfant même s’il est déjà au bénéfice d’une rente de vieillesse ou d’une rente d’invalidité allouée antérieurement (art. 22ter al. 1, 2ème phrase, LAVS ; cf. arrêts du TAF C-5523/2009 du 9 mai 2012 consid. 3.3.2 et C-5669/2018 du 24 juin 2020 consid. 5.2.2). Le droit à une rente pour enfant recueilli naît dans ce cas le 1er jour du mois suivant la réalisation des autres conditions nécessaires à l’existence d’un lien nourricier en application de l’art. 49 al. 1 RAVS en relation avec l’art. 25 al. 4 LAVS (arrêt du TAF C-5669/2018 consid. 6.3.2).</w:t>
      </w:r>
    </w:p>
    <w:p>
      <w:r>
        <w:rPr>
          <w:b/>
        </w:rPr>
        <w:t>E. 5.2.1</w:t>
      </w:r>
    </w:p>
    <w:p>
      <w:r>
        <w:t>En l’espèce, il est établi que l’assuré est au bénéfice d’une rente de vieillesse depuis le (…) 2015 (CSC pce 10). De plus, il ressort du dossier qu’il n’est pas marié avec la mère de l’enfant qu’il souhaite recueillir, ce qu’il ne conteste pas, étant du reste toujours marié avec sa 3ème épouse, dont il est séparé de fait mais néanmoins pas divorcé (TAF pce 1 ; CSC pces 2, 75). Ce nonobstant, le recourant soutient que le statut de concubin devrait être assimilé à celui de conjoint à l’heure actuelle.</w:t>
      </w:r>
    </w:p>
    <w:p>
      <w:r>
        <w:rPr>
          <w:b/>
        </w:rPr>
        <w:t>E. 5.2.2</w:t>
      </w:r>
    </w:p>
    <w:p>
      <w:r>
        <w:t>Si le droit des assurances sociales, conçu à partir de la 2e moitié du 20e siècle en tenant compte du modèle familial de l’époque, s’est adapté à son gré aux changements de la perception de la cellule familiale lors de ces dernières décennies (ANNE-SYLVIE DUPONT, in : Commentaire pra- tique, Droit Matrimonial, 2016, Annexe II – Assurances sociales, nos 3 s.), force est de constater que les inégalités entre couples mariés et concubins</w:t>
      </w:r>
    </w:p>
    <w:p>
      <w:r>
        <w:t>C-3410/2020 Page 8 persistent encore aujourd’hui en droit des assurances sociales comme en droit civil – dont il convient de s’inspirer lorsqu'il s'agit d'interpréter des règles du droit des assurances sociales avec un élément de rattachement au droit de la famille (cf. ATF 143 V 354 consid. 4.2.1 ; 140 I 77 consid. 5.1) –, le mariage bénéficiant toujours d’une protection particulière par rap- port aux autres formes de vie en commun (cf. Message du 28 novembre 2014 concernant la modification du code civil [Droit de l’adoption], FF 2015 835, p. 893 s ; Message du 29 août 2018 concernant la révision du code civil suisse [Droit des successions], FF 2018 5865, p. 5874, 5876 s. et 5910). Du reste, si la fin de la deuxième phrase de l’art. 22ter al. 1 LAVS, en vigueur depuis 1997 (RO 1996 2466), n’introduit une exception au principe, selon lequel une rente pour enfant recueilli ne peut être allouée après la surve- nance du cas d’assurance, qu’en faveur du conjoint (« des andern Ehe- gatten » dans sa version allemande, « dell’altro coniuge » dans sa version italienne) et non du concubin, cela se justifie puisque le conjoint, à l’inverse du concubin, est tenu par l’art. 278 al. 2 du Code civil suisse du 10 dé- cembre 1907 (RS 210, CC) d’assister son époux de façon appropriée dans l’accomplissement de son obligation d’entretien envers les enfants nés avant le mariage (cf. arrêts du TAF C-5523/2009 consid. 3.3.2 et réf. cit.). De plus, la règlementation en droit des assurances sociales étant de nature impérative, il n’est pas possible d’assimiler aux états de fait circonscrits dans les textes légaux des situations certes semblables, mais qui n’en rem- plissent pas les caractéristiques exactes. Or, le statut de conjoint présup- pose un mariage célébré selon la procédure prévue par les art. 97 ss CC ou reconnu en vertu des règles du droit international privé à la différence de celui de concubin (ANNE-SYLVIE DUPONT, op. cit., nos 7 s.). Pour ces raisons, le droit à une rente complémentaire pour enfant ne sau- rait être ouvert aux personnes recueillant l’enfant de leur concubin alors qu’elles sont déjà au bénéfice d’une rente de vieillesse allouée antérieure- ment.</w:t>
      </w:r>
    </w:p>
    <w:p>
      <w:r>
        <w:rPr>
          <w:b/>
        </w:rPr>
        <w:t>E. 5.3</w:t>
      </w:r>
    </w:p>
    <w:p>
      <w:r>
        <w:t>Sur le vu de ce qui précède, l’art. 22ter al. 1, 2ème phrase, LAVS amène à exclure un droit du recourant à une rente complémentaire pour enfant recueilli et cela indépendamment de la question de savoir si le recourant assume les charges et obligations d'entretien et d'éducation qui incombent habituellement aux parents naturels de manière gratuite et durable.</w:t>
      </w:r>
    </w:p>
    <w:p>
      <w:r>
        <w:t>C-3410/2020 Page 9</w:t>
      </w:r>
    </w:p>
    <w:p>
      <w:r>
        <w:rPr>
          <w:b/>
        </w:rPr>
        <w:t>E. 6</w:t>
      </w:r>
    </w:p>
    <w:p>
      <w:r>
        <w:t>Enfin, le recourant se prévaut du mémento sur les allocations familiales pour en inférer, de manière peu claire, un éventuel droit, soit à une rente de vieillesse complémentaire pour enfant recueilli, soit à des allocations familiales.</w:t>
      </w:r>
    </w:p>
    <w:p>
      <w:r>
        <w:rPr>
          <w:b/>
        </w:rPr>
        <w:t>E. 6.1</w:t>
      </w:r>
    </w:p>
    <w:p>
      <w:r>
        <w:t>A supposer que le recourant se réfère au mémento sur les allocations familiales pour en déduire un droit à une rente AVS complémentaire pour enfant recueilli, le Tribunal rappelle que ce mémento concerne les allocations familiales dont l’octroi est régi par la loi fédérale du 24 mars 2006 sur les allocations familiales et les aides financières allouées aux organisations familiales (LAFam, RS 836.2). Ce régime légal ne saurait fonder, par application analogique, le droit à une rente de vieillesse complémentaire pour enfant recueilli.</w:t>
      </w:r>
    </w:p>
    <w:p>
      <w:r>
        <w:rPr>
          <w:b/>
        </w:rPr>
        <w:t>E. 6.2</w:t>
      </w:r>
    </w:p>
    <w:p>
      <w:r>
        <w:t>Dans l’hypothèse où le recourant réclamerait implicitement l’octroi d’allocations familiales, il y a lieu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(ATF 125 V 413 consid. 1a ; arrêts du TAF C-2518/2018 et C-2983/2018 du 11 mai 2021 consid. 2.2 et C-7017/2015 du 17 septembre 2021 consid. 2.1). Délimités par la décision sur opposition du 10 juin 2020 de l’autorité inférieure déniant au recourant le droit à une rente complémentaire pour enfant recueilli, la contestation respectivement l’objet du présent litige sont circonscrits au droit à une rente pour enfant recueilli de l’AVS, de sorte qu’une éventuelle conclusion tendant à l’octroi d’allocations familiales pour enfant recueilli au sens de la LAFam se révèlerait en tout état de cause irrecevable.</w:t>
      </w:r>
    </w:p>
    <w:p>
      <w:r>
        <w:rPr>
          <w:b/>
        </w:rPr>
        <w:t>E. 7</w:t>
      </w:r>
    </w:p>
    <w:p>
      <w:r>
        <w:t>Sur le vu de ce qui précède, la décision litigieuse ne prête pas le flanc à la critique, de sorte que le recours doit être rejeté.</w:t>
      </w:r>
    </w:p>
    <w:p>
      <w:r>
        <w:rPr>
          <w:b/>
        </w:rPr>
        <w:t>E. 8.1</w:t>
      </w:r>
    </w:p>
    <w:p>
      <w:r>
        <w:t>La procédure étant gratuite, il n’est pas perçu de frais de procédure (art. 85bis al. 2 LAVS).</w:t>
      </w:r>
    </w:p>
    <w:p>
      <w:r>
        <w:t>C-3410/2020 Page 10</w:t>
      </w:r>
    </w:p>
    <w:p>
      <w:r>
        <w:rPr>
          <w:b/>
        </w:rPr>
        <w:t>E. 8.2</w:t>
      </w:r>
    </w:p>
    <w:p>
      <w:r>
        <w:t>Il n’est alloué de dépens ni au recourant vu l’issue de la procédure (cf. art. 64 al. 1 PA a contrario), ni à l’autorité inférieure (cf. art. 7 al. 1 et 3 du règlement du 21 février 2008 concernant les frais, dépens et indemnités fixés par le Tribunal administratif fédéral [FITAF, RS 173.320.2]). (le dispositif figure à la page suivante)</w:t>
      </w:r>
    </w:p>
    <w:p>
      <w:r>
        <w:t>C-3410/2020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