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C-3410/2009 vom 22. Oktober 2012</w:t>
      </w:r>
    </w:p>
    <w:p>
      <w:r>
        <w:t>Bundesverwaltungsgericht, 2012-10-22, DE</w:t>
      </w:r>
    </w:p>
    <w:p>
      <w:r>
        <w:rPr>
          <w:b/>
        </w:rPr>
        <w:t xml:space="preserve">Quelle: </w:t>
      </w:r>
      <w:r>
        <w:t>https://mcp.opencaselaw.ch/entscheid/bvger_C-3410_2009</w:t>
      </w:r>
    </w:p>
    <w:p>
      <w:r>
        <w:t>FR: TAF C-3410/2009 du 22 octobre 2012</w:t>
      </w:r>
    </w:p>
    <w:p>
      <w:r>
        <w:t>IT: TAF C-3410/2009 del 22 ottobre 2012</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vgl. auch Art. 44 VwVG und Art. 56 Abs. 1 des Bundesgesetzes vom 6. Oktober 2000 über den Allgemeinen Teil des Sozialversicherungsrechts [ATSG, SR 830.1]; Urteil des Bundesverwaltungsgerichts [im Folgenden auch: BVGer] A-8518/2007 vom 18. September 2008 E. 4.4 mit Hinweisen), sofern keine Ausnahme nach Art. 32 VGG vorliegt. Als Vorinstanzen gelten die in Art. 33 VGG genannten Behörden. Die SUVA ist eine Vorinstanz im Sinne von Art. 33 Bst. e VGG, und die Zuständigkeit des Bundesverwaltungsgerichts zur Beurteilung von Beschwerden gegen Verfügungen der SUVA über die Zuteilung der Betriebe und der Versicherten zu den Klassen und Stufen des Prämientarifs und Anordnungen zur Verhütung von Unfällen und Berufskrankheiten ergibt sich aus Art. 109 Bst. b und c des Bundesgesetzes vom 20. März 1981 über die Unfallversicherung (UVG, SR 832.20).</w:t>
      </w:r>
    </w:p>
    <w:p>
      <w:r>
        <w:rPr>
          <w:b/>
        </w:rPr>
        <w:t>E. 1.2</w:t>
      </w:r>
    </w:p>
    <w:p>
      <w:r>
        <w:t>Angefochten ist der Einspracheentscheid der SUVA vom 16. April 2009 (act. 27), mit welchem die Einsprache der Versicherten vom 25. März 2009 (act. 25) gegen die in Anwendung von Art. 92 Abs. 3 UVG und Art. 66 der Verordnung vom 19. Dezember 1983 über die Verhütung von Unfällen und Berufskrankheiten (Verordnung über die Unfallverhütung, VUV, SR 832.30) verfügte Höhereinreihung im Prämientarif abgewiesen wurde. Bei einer solchen Höhereinreihung handelt es sich um eine Massnahme der Unfallverhütung (BGE 116 V 255 E. 2), welche gemäss Art. 109 Bst. c UVG im Beschwerdefall vom Bundesverwaltungsgericht zu überprüfen ist (vgl. Urteil des BVGer C-4640/2007 vom 9. März 2009 E. 1.2 mit Hinweis auf das Urteil der Eidgenössischen Rekurskommission für die Unfallversicherung [im Folgenden: Rekurskommission UV] REKU 556/03 vom 17. Juni 2004, veröffentlicht in Verwaltungspraxis der Bundesbehörden [VPB] 68.170, E. 1a).</w:t>
      </w:r>
    </w:p>
    <w:p>
      <w:r>
        <w:rPr>
          <w:b/>
        </w:rPr>
        <w:t>E. 1.3</w:t>
      </w:r>
    </w:p>
    <w:p>
      <w:r>
        <w:t>Das Verfahren vor dem Bundesverwaltungsgericht richtet sich nach dem VwVG, soweit das VGG nichts anderes bestimmt (Art. 37 VGG). Vorbehalten bleiben gemäss Art. 3 Bst. dbis VwVG die besonderen Bestimmungen des ATSG.</w:t>
      </w:r>
    </w:p>
    <w:p>
      <w:r>
        <w:rPr>
          <w:b/>
        </w:rPr>
        <w:t>E. 1.4</w:t>
      </w:r>
    </w:p>
    <w:p>
      <w:r>
        <w:t>Nach Art. 59 ATSG ist zur Beschwerde legitimiert, wer durch die angefochtene Verfügung oder - wie vorliegend - den angefochtenen Einspracheentscheid berührt ist und ein schutzwürdiges Interesse an deren Aufhebung oder Änderung hat (vgl. auch Art. 48 Abs. 1 Bst. c VwVG; BGE 123 II 285 E. 4, Urteile des Bundesgerichts [im Folgenden: BGer] 2C_166/2009 vom 30. November 2009 E. 1.2.1 und 8C_622/2009 vom 3. Dezember 2009 E. 1.1; BVGE 2009/31 E. 3.1 mit Hinweisen). Da nebst der Beschwerdelegitimation (vgl. hierzu ergänzend Urteil des BVGer C-1454/2008 vom 8. Juni 2010 E. 2.6) zweifellos auch die übrigen Eintretensvoraussetzungen (vgl. Art. 60 in Verbindung mit Art.38 ff. ATSG und Art. 49 ff. VwVG) erfüllt sind und auch der Kostenvorschuss fristgerecht geleistet worden ist, ist auf die Beschwerde einzutreten.</w:t>
      </w:r>
    </w:p>
    <w:p>
      <w:r>
        <w:rPr>
          <w:b/>
        </w:rPr>
        <w:t>E. 1.5.1</w:t>
      </w:r>
    </w:p>
    <w:p>
      <w:r>
        <w:t>Am 17. Februar 2009 erliess die SUVA eine Verfügung infolge unmittelbarer schwerer Gefährdung (act. 18). Der Rechtsvertreter der Beschwerdeführerin hat zu diesem Entscheid in seiner Eingabe an die SUVA vom 25. Februar 2009 zwar Stellung genommen. Diese Stellungnahme ist jedoch nicht als Einsprache zu qualifizieren, da eine solche gemäss Art. 105a UVG ausgeschlossen war bzw. ist und stattdessen eine Beschwerde beim Bundesverwaltungsgericht hätte anhängig gemacht werden müssen. Da die Beschwerdeführerin die Verfügung vom 17. Februar 2009 jedoch nicht angefochten hatte, erübrigen sich diesbezügliche Weiterungen.</w:t>
      </w:r>
    </w:p>
    <w:p>
      <w:r>
        <w:rPr>
          <w:b/>
        </w:rPr>
        <w:t>E. 1.5.2</w:t>
      </w:r>
    </w:p>
    <w:p>
      <w:r>
        <w:t>Unter den Parteien nicht streitig und zu prüfen ist, dass die Durchführung der Bestimmungen über die Verhütung von Berufsunfällen und Berufskrankheiten der SUVA obliegt, was sich aufgrund von Art. 85 Abs. 1 UVG nicht beanstanden lässt. Zu ergänzen ist, dass die gestützt auf Art. 85 Abs. 2 UVG eingesetzte Eidgenössischen Koordinationskommission für Arbeitssicherheit (im Folgenden: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verbindlich und die Durchführungsorgane des Arbeitsgesetzes verbindlich und sie kann insbesondere Ausführungsbestimmungen zum Verfahren erlassen (Art. 85 Abs. 4 UVG in Verbindung mit Art. 53 Bst. a VUV), was sie mit dem Leitfaden (im Folgenden: EKAS-Leitfaden) gemacht hat.</w:t>
      </w:r>
    </w:p>
    <w:p>
      <w:r>
        <w:rPr>
          <w:b/>
        </w:rPr>
        <w:t>E. 1.5.3</w:t>
      </w:r>
    </w:p>
    <w:p>
      <w:r>
        <w:t>Anfechtungsobjekt bildet demnach alleine der - die Verfügung vom 24. Februar 2009 (act. 20) bestätigende - Einspracheentscheid vom 16. April 2009. Streitig und zu prüfen ist somit, ob die von der Vorinstanz verfügte Prämienerhöhung rechtens gewesen war.</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 Art. 92 Abs. 3 UVG können die Betriebe bei Zuwiderhandlung gegen Vorschriften über die Verhütung von Unfällen und Berufskrankheiten jederzeit und auch rückwirkend in eine höhere Gefahrenstufe versetzt werden. Diese Höhereinreihung richtet sich nach den Bestimmungen der VUV, wobei der betroffene Betrieb in der Regel in eine Stufe mit einem um mindestens 20% höheren Prämiensatz versetzt werden soll (Art. 113 Abs. 2 der Verordnung über die Unfallversicherung vom 20. Dezember 1982 [UVV, SR 832.202]). Gemäss Art. 66 Abs. 1 VUV kann ein Betrieb in eine höhere Stufe des Prämientarifs versetzt werden, sofern der Arbeitgeber einer vollstreckbaren Verfügung keine Folge leistet oder auf andere Weise Vorschriften über die Arbeitssicherheit zuwider handelt. In dringenden Fällen werden die erforderlichen Zwangsmassnahmen (gemäss Art. 67 VUV) getroffen. Wegen Zuwiderhandlungen gegen Vorschriften über die Verhütung von Unfällen und Berufskrankheiten erfolgt die Einreihung in eine höhere Stufe nach den Bestimmungen der VUV. In der Regel soll der Betrieb in eine Stufe mit einem um mindestens 20 % höheren Prämiensatz versetzt werden. Ist dies innerhalb des Tarifs nicht möglich, so wird der Prämiensatz der höchsten Stufe der betreffenden Klasse entsprechend erhöht (Art. 113 Abs. 2 UVV). Die nach Art. 113 Abs. 2 UVV festzusetzende Prämienerhöhung wird unter Angabe von Beginn und Dauer vom zuständigen Durchführungsorgan angeordnet. Sie muss vom Versicherer unverzüglich verfügt werden, wobei das Durchführungsorgan eine Kopie dieser Verfügung erhält (Art. 66 Abs. 2 VUV).</w:t>
      </w:r>
    </w:p>
    <w:p>
      <w:r>
        <w:rPr>
          <w:b/>
        </w:rPr>
        <w:t>E. 3</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3.1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 welche am 1. Januar 2006 die gleichnamige Verordnung vom 29. März 2000 [altBauAV, AS 2000 1403] abgelöst hat, sowie die Verordnung vom 27. September 1999 über die sichere Verwendung von Kranen (Kranverordnung, SR 832.312.15).</w:t>
      </w:r>
    </w:p>
    <w:p>
      <w:r>
        <w:rPr>
          <w:b/>
        </w:rPr>
        <w:t>E. 3.2</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(für den Fall, dass der Ermahnung keine Folge geleistet wird, vgl. Art. 64 Abs. 1 VUV). Nach der Rechtsprechung ist eine behördliche Mahnung einer Verfügung im Sinne von Art. 5 VwVG gleichzustellen, wenn diese die Rechtstellung der Betroffenen verschlechtert (BGE 103 Ib 350 E. 2).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(Urteils des BGer 5P_199/2003 vom 12. August 2003 E. 1.1), sofern sich die aktuelle Rechtsstellung der betroffenen Person allein dadurch verschlechtert (vgl. Pierre Tschannen/Ulrich Zimmerli/Markus Müller, Allgemeines Verwaltungsrecht, 3. Aufl., Bern 2009, § 28 N. 27; Urteil des BGer 1P.555/2001 vom 3. Januar 2002 E. 4.2 ff.). Im Falle einer Belehrung, eines Verweises, einer Mahnung oder dergleichen gilt es zu prüfen, ob diesem Akt Sanktionscharakter zukommt; dies trifft dann zu, wenn er den Vorwurf rechtswidrigen Verhaltens in sich schliesst, dem Betreffenden nahe legt, dieses in Zukunft zu unterlassen, und objektiv eine Massregelung darstellt. Ermahnungen des Kontrollorgans sind in der Regel notwendige Voraussetzung für eine spätere Sanktionierung in Form einer Prämienerhöhung nach Art. 92 Abs. 3 UVG in Verbindung mit Art. 66 Abs. 1 VUV und verschlechtern die aktuelle Rechtsstellung eines betroffenen Betriebs. Diesen Ermahnungen kommt demnach Sanktionscharakter im Sinne der oben erwähnten Rechtsprechung zu und diese können beim Bundesverwaltungsgericht grundsätzlich angefochten werden (BVGE 2010/37 E. 2.4.3 mit Hinweisen). In dringenden Fällen ist die Verfügung ohne vorgängige Ermahnung zu erlassen (vgl. Art. 62 Abs. 2 VUV). Leistet der Arbeitgeber einer vollstreckbaren Verfügung keine Folge oder handelt er auf andere Weise Vorschriften über die Arbeitssicherheit zuwider, hat in Anwendung von Art. 66 Abs. 1 VUV in Verbindung mit Art. 92 Abs. 3 UVG, wonach bei Zuwiderhandlungen gegen Vorschriften über die Verhütung von Unfällen und Berufskrankheiten Betriebe jederzeit und auch rückwirkend in eine höhere Gefahrenstufe versetzt werden können, eine Prämienerhöhung zu erfolgen (BVGE 2010/37 E. 2.4.1).</w:t>
      </w:r>
    </w:p>
    <w:p>
      <w:r>
        <w:rPr>
          <w:b/>
        </w:rPr>
        <w:t>E. 4.1</w:t>
      </w:r>
    </w:p>
    <w:p>
      <w:r>
        <w:t>Die SUVA stellte bei mehreren Baustellenkontrollen fest, dass die im Interesse von Arbeitssicherheit und Gesundheitsschutz erforderlichen Massnahmen nicht oder nicht genügend getroffen resp. zahlreiche Bestimmungen der BauAV verletzt worden waren. Die Beschwerdeführerin bestreitet nicht, verschiedene Sicherheitsvorschriften nicht eingehalten zu haben. Vielmehr führte sie in ihrer Replik vom 30. Oktober 2009 (B-act. 11) explizit aus, die Sachverhaltsdarstellungen der Vorinstanz seien unbestritten. Unter diesen Umständen resp. aufgrund des unbestrittenen Sachverhalts erübrigen sich Weiterungen zu den konkret verletzten Normen der BauAV und es ist zusammenfassend festzuhalten, dass die Beschwerdeführerin mehrere Vorschriften über die Verhütung von Unfällen missachtet hatte. Zu prüfen bleibt demnach, ob die am 24. Februar 2009 verfügte (act. 20) und mit angefochtenem Einspracheentscheid vom 16. April 2009 (act. 27) bestätigte Prämienerhöhung von 21 % für die Dauer von einem Jahr rechtmässig gewesen war bzw. in korrekter Anwendung der gesetzlichen Zuständigkeitsregeln und unter Beachtung der allgemeinen Grundsätze des Verwaltungshandelns verfügt wurde.</w:t>
      </w:r>
    </w:p>
    <w:p>
      <w:r>
        <w:rPr>
          <w:b/>
        </w:rPr>
        <w:t>E. 4.2</w:t>
      </w:r>
    </w:p>
    <w:p>
      <w:r>
        <w:t>Nach Art. 66 Abs. 2 VUV ordnet das zuständige Durchführungsorgan die Prämienerhöhung nach Art. 113 Abs. 2 UVV an. Der zuständige Versicherer hat unverzüglich eine Verfügung betreffend Höhereinreihung zu erlassen. Für Betriebe des Baugewerbes ist die SUVA gemäss Art. 49 Ziff. 11 VUV zuständiges Durchführungsorgan für die Aufsicht betreffend Einhaltung der Unfallverhütungsvorschriften und gemäss Art. 66 Abs. 1 Bst. b UVG der zuständige Unfallversicherer. Vorliegend war die SUVA demnach sowohl für die Anordnung der Massnahme als auch für den Erlass der Verfügung zuständig.</w:t>
      </w:r>
    </w:p>
    <w:p>
      <w:r>
        <w:rPr>
          <w:b/>
        </w:rPr>
        <w:t>E. 4.3</w:t>
      </w:r>
    </w:p>
    <w:p>
      <w:r>
        <w:t>Gemäss Art. 113 Abs. 2 UVV haben Zuwiderhandlungen gegen Vorschriften zur Verhütung von Unfällen in der Regel eine Höhereinstufung des betreffenden Betriebs in eine Stufe mit einem mindestens 20 % höheren Prämiensatz zur Folge (vgl. hierzu auch E. 2. hiervor). Die Sanktion greift ungeachtet der Schwere des Verstosses. Das Eidgenössische Versicherungsgericht (EVG; seit 1. Januar 2007 BGer, sozialrechtliche Abteilung) hat diese Ordnung grundsätzlich als mit dem Verhältnismässigkeitsprinzip und dem Willkürverbot vereinbar bezeichnet (Urteil des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BVGE 2010/37 E. 2.4.2.2).</w:t>
      </w:r>
    </w:p>
    <w:p>
      <w:r>
        <w:rPr>
          <w:b/>
        </w:rPr>
        <w:t>E. 4.4</w:t>
      </w:r>
    </w:p>
    <w:p>
      <w:r>
        <w:t>Die Beschwerdeführerin wurde von der Vorinstanz wegen Missachtung der erforderlichen Massnahmen im Interesse von Arbeitssicherheit und Gesundheitsschutz am 17. April 2008 (act. 2), 24. April 2008 (act. 4), 27. August 2008 (act. 7), 27. November 2008 (act. 12) und 3. Dezember 2008 (act. 15) gemahnt, wobei sich die SUVA auf zahlreiche Bestimmungen der BauAV stützte. In den letzten drei Mahnungen wurde die Beschwerdeführerin unter Hinweis auf Art. 92 Abs. 3 UVG darüber in Kenntnis gesetzt, dass bei erneuter Zuwiderhandlung gegen die Vorschriften über die Arbeitssicherheit ohne vorherige Mitteilung eine höhere Stufe des Prämientarifs zu Anwendung gelange. Der Beschwerdeführerin wurde in sämtlichen Mahnschreiben - mit Ausnahme desjenigen vom 27. November 2008 - Gelegenheit zur Einreichung von Einwendungen gegeben. Dass das Mahnschreiben vom 27. November 2008 nicht mit einer Rechtsmittelbelehrung versehen war, schadet vorliegend nicht, denn einerseits wurden die von der Vorinstanz festgestellten Sachverhalte im Zusammenhang mit den Verstössen von der Beschwerdeführerin an sich nicht bestritten (vgl. E. 4.1 hiervor). Andererseits handelte es sich bei diesem Schreiben in erster Linie um eine Bestätigung der Gespräche vom 15. Oktober und 11. November 2008. Es ist somit ohne weiteres davon auszugehen, dass der Beschwerdeführerin das rechtliche Gehör gewährt worden war.</w:t>
      </w:r>
    </w:p>
    <w:p>
      <w:r>
        <w:rPr>
          <w:b/>
        </w:rPr>
        <w:t>E. 4.5</w:t>
      </w:r>
    </w:p>
    <w:p>
      <w:r>
        <w:t>Die Beschwerdeführerin liess in ihrer Beschwerde vom 26. Mai 2009 ausführen, im angefochtenen Entscheid werde nicht erwähnt, dass den Ermahnungen Folge geleistet worden sei. Auch habe die Schulung auf der Baustelle keine Berücksichtigung gefunden, weshalb bei der verfügten Prämienerhöhung das Ermessen überschritten worden sei. Überdies sei diese aufgrund der Kooperation der Beschwerdeführerin und des Umstands, dass es auf der kontrollierten Baustelle nie zu einem Unfall gekommen sei und im Betrieb der Beschwerdeführerin generell wenige Arbeitsunfälle vorkämen, unangemessen (B-act. 1). Weiter wurde am 30. Oktober 2009 replicando ausgeführt, die Vorinstanz habe dem Umstand, dass sie als Unterakkordantin tätig gewesen sei, keine Beachtung geschenkt (B-act. 11). Diesbezüglich ist Folgendes festzuhalten:</w:t>
      </w:r>
    </w:p>
    <w:p>
      <w:r>
        <w:rPr>
          <w:b/>
        </w:rPr>
        <w:t>E. 4.6.1</w:t>
      </w:r>
    </w:p>
    <w:p>
      <w:r>
        <w:t>Die Vorschriften über die Verhütung von Berufsunfällen und -krankheiten gelten gemäss Art. 81 Abs. 1 UVG grundsätzlich für alle Betriebe, die in der Schweiz Arbeitnehmer beschäftigen. Adressat der Unfallverhütungsvorschriften ist - wie aus dieser Bestimmung sowie aus Art. 82 Abs. 1 und Art. 3 ff. VUV - hervorgeht, in erster Linie der Arbeitgeber oder die Arbeitgeberin. Überträgt er bestimmte Aufgaben der Arbeitssicherheit einem Arbeitnehmer, entbindet dies ihn nicht von seinen Verpflichtungen (Art. 7 Abs. 2 VUV). Sind an einem Arbeitsplatz mehrere Betriebe tätig, so haben deren Arbeitgeber die zur Wahrung der Arbeitssicherheit erforderlichen Absprachen zu treffen und die notwendigen Massnahmen anzuordnen (Art. 9 Abs. 1 Satz 1 VUV; zu Art. 9 VUV vgl. Urteil des BGer 6B_675/2007 vom 20. Juni 2006 E. 2 [besonders E. 2.2.21. und 2.2.2.2]).</w:t>
      </w:r>
    </w:p>
    <w:p>
      <w:r>
        <w:rPr>
          <w:b/>
        </w:rPr>
        <w:t>E. 4.6.2</w:t>
      </w:r>
    </w:p>
    <w:p>
      <w:r>
        <w:t>Wenn sich aus diesen Bestimmungen eine Pflicht der Arbeitgeberinnen und Arbeitgeber ableiten lässt, auch für die Arbeitssicherheit von Beschäftigten anderer Unternehmen besorgt zu sein (vgl. Urteil des BGer 6P.58/2003 vom 3. August 2004 E. 6.3, in: Pra 2005 Nr. 29 S. 214; BGE 101 IV 28 E. 2), gilt dies erst recht für die eigenen Mitarbeiterinnen und Mitarbeiter. Aufgrund der vorstehend wiedergegebenen massgeblichen Gesetzes- und Verordnungsbestimmungen ist es demnach unerheblich, dass die Beschwerdeführerin bloss in ihrer Funktion als Subunternehmerin fungiert hat. Mit anderen Worten hat die Beschwerdeführerin die - an sich unbestrittene - Verletzung von Unfallverhütungsvorschriften selber zu verantworten.</w:t>
      </w:r>
    </w:p>
    <w:p>
      <w:r>
        <w:rPr>
          <w:b/>
        </w:rPr>
        <w:t>E. 4.7.1</w:t>
      </w:r>
    </w:p>
    <w:p>
      <w:r>
        <w:t>Betreffend die von der Beschwerdeführerin geltend gemachte Unangemessenheit der Prämienerhöhung ist festzustellen, dass der SUVA bei der Festsetzung des Prämientarifs für die Berufsunfallversicherung ein weiter Ermessensspielraum zusteht. In diesen greift das Bundesverwaltungsgericht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Die Grundsätze der Prämientarifierung für die Berufsunfallversicherung gelten auch bei der Anwendung des auf den 1. Januar 1995 für die Klasse 41A eingeführten Bonus-Malus-Systems (vgl. hierzu Urteil des EVG U 240/03 vom 2. Juni 2004 E. 3.2.1 f. und 3.3 mit Hinweisen).</w:t>
      </w:r>
    </w:p>
    <w:p>
      <w:r>
        <w:rPr>
          <w:b/>
        </w:rPr>
        <w:t>E. 4.7.2</w:t>
      </w:r>
    </w:p>
    <w:p>
      <w:r>
        <w:t>Die von der SUVA am 24. Februar 2009 rückwirkend auf den 1. Januar 2009 für die Dauer von einem Jahr verfügte Prämienerhöhung von Stufe 109 (Prämiensatz 3.8900 %) in Stufe 113 (Prämiensatz 4.7200 %) der Klasse 45L (act. 19 und 20) berechtigt mit Blick auf die vorstehend wiedergegeben Voraussetzungen nicht zu einem Eingriff des Bundesverwaltungsgerichts in das vorinstanzliche Ermessen. Vielmehr erweist sich diese Prämienerhöhung als mit dem Grundsatz der Verhältnismässigkeit im Einklang stehend. Dieser Grundsatz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verfügten Prämienerhöhung zweifellos erfüllt.</w:t>
      </w:r>
    </w:p>
    <w:p>
      <w:r>
        <w:rPr>
          <w:b/>
        </w:rPr>
        <w:t>E. 4.8</w:t>
      </w:r>
    </w:p>
    <w:p>
      <w:r>
        <w:t>Hinsichtlich der Argumentation der Beschwerdeführerin, in ihrem Betrieb würden sich unterdurchschnittlich viele Unfälle ereignen, ist in Übereinstimmung mit der Vorinstanz darauf hinzuweisen, dass eine Einreihung in eine höhere Stufe im Prämientarif gemäss Art. 92 Abs. 3 UVG in Verbindung mit Art. 113 Abs. 2 UVV als Massnahme mit Strafcharakter bei Zuwiderhandlungen gegen Arbeitssicherheitsvorschriften unabhängig davon erfolgt, ob sich aufgrund der nicht eingehaltenen Sicherheitsvorschriften ein Unfall ereignet hat oder nicht (vgl. bspw. BGE 116 V 255 E. 4c).</w:t>
      </w:r>
    </w:p>
    <w:p>
      <w:r>
        <w:rPr>
          <w:b/>
        </w:rPr>
        <w:t>E. 4.9</w:t>
      </w:r>
    </w:p>
    <w:p>
      <w:r>
        <w:t>Keine Rolle spielen im Rahmen der Anwendung des ausserordentlichen Durchführungsverfahrens entgegen der Auffassung der Beschwerdeführerin auch die Umstände, dass sie den Ermahnungen Folge geleistet, eine Schulung betreffend Arbeitssicherheit durchgeführt und stets kooperiert hat. Diesbezüglich verkennt die Beschwerdeführerin das Wesen des ausserordentlichen Durchführungsverfahrens (vgl. EKAS-Leitfaden Ziff. 5.2.1). Es gibt Situationen, wo ein sicherheitswidriger Zustand wegen der Art der auszuführenden Arbeit oder der Arbeitsweise nur vorübergehend und während verhältnismässig kurzer Zeit besteht. Beispiele bietet vor allem die Baubranche, wo Gerüstungen, Gräben, etc. infolge Arbeitsfortschritts laufend wieder beseitigt werden. Damit verschwinden auch die ihnen anhaftenden Mängel. Der Erlass einer Verfügung, welche die Beseitigung eines Mangels verlangt, führt nicht zum Ziel, weil das Gerüst bereits abmontiert oder die Schutzeinrichtung wieder verwendet wird, wenn die schriftliche Verfügung den Betrieb erreicht. Für diesen Fall greift das ausserordentliche Durchführungsverfahren, welches der Feststellung dient, wann eine Arbeitgeberin oder ein Arbeitgeber - im Sinne von Art. 66 Abs. 1 VUV - "auf andere Weise Vorschriften über die Arbeitssicherheit" zuwiderhandelt, und ein Betrieb deshalb in eine höhere Stufe des Prämientarifs zu versetzen ist (BVGE 2010/37 E. 2.4.2.2).</w:t>
      </w:r>
    </w:p>
    <w:p>
      <w:r>
        <w:rPr>
          <w:b/>
        </w:rPr>
        <w:t>E. 5</w:t>
      </w:r>
    </w:p>
    <w:p>
      <w:r>
        <w:t>Aufgrund der vorstehenden Erwägungen resp. der darin erwähnten höchstrichterlichen Rechtsprechung und in Anwendung von Art. 92 Abs. 3 UVG und Art. 113 Abs. 2 UVV ist zusammenfassend festzuhalten, dass die Vorinstanz mit der rückwirkend für ein Jahr verfügten Prämienerhöhung von etwas über 21 % kein Bundesrecht verletzt hat. Entgegen der Auffassung der Beschwerdeführerin ist die Prämienerhöhung nicht zu beanstanden bzw. war diese weder unverhältnismässig noch willkürlich (vgl. hierzu auch BGE 116 V 263 E. 4b und c).</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mit dem geleisteten Verfahrenskostenvorschuss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