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C-3382/2018 vom 26. Januar 2020</w:t>
      </w:r>
    </w:p>
    <w:p>
      <w:r>
        <w:t>Bundesverwaltungsgericht, 2020-01-26, DE</w:t>
      </w:r>
    </w:p>
    <w:p>
      <w:r>
        <w:rPr>
          <w:b/>
        </w:rPr>
        <w:t xml:space="preserve">Quelle: </w:t>
      </w:r>
      <w:r>
        <w:t>https://mcp.opencaselaw.ch/entscheid/bvger_C-3382_2018</w:t>
      </w:r>
    </w:p>
    <w:p>
      <w:r>
        <w:t>FR: TAF C-3382/2018 du 26 janvier 2020</w:t>
      </w:r>
    </w:p>
    <w:p>
      <w:r>
        <w:t>IT: TAF C-3382/2018 del 26 gennaio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31. Mai 2018, mit welcher sie das Gesuch der Beschwerdeführerin um Änderung der (bisher befristet auf der Spezialitätenliste aufgeführten) Limitierung von B._______ für die Indikation D._______ wegen fehlender Wirtschaftlichkeit abgewiesen hat. Die Abweisung dieses Gesuchs hat zur Folge, dass die seit dem 1. Juli 2013 stets befristete Limitierungserweiterung für die Indikation D._______ von der Spezialitätenliste gestrichen und B._______ in dieser Indikation nicht mehr von der OKP vergütet wird.</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31. Mai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April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4.8</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4.9</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4.10</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Umstritten ist die Wirtschaftlichkeit von B._______, welche die Vorinstanz im Rahmen des Gesuchs um Änderung der Limitierung für die Indikation D._______ zu prüfen hatte (Art. 65f Abs. 1 KVV). Zu Recht unbestritten ist hierbei, dass die Wirtschaftlichkeit von B._______ grundsätzlich mittels APV und TQV zu beurteilen ist (grundlegend: BGE 142 V 26 E. 5.2.2). Unbestritten ist überdies das ermittelte APV-Niveau per 1. Januar 2018 für B._______ von Fr. (....). Strittig und zu prüfen ist einzig, ob der von der Vorinstanz durchgeführte TQV, insbesondere die Auswahl der Vergleichspräparate, den rechtlichen Anforderungen entspricht.</w:t>
      </w:r>
    </w:p>
    <w:p>
      <w:r>
        <w:rPr>
          <w:b/>
        </w:rPr>
        <w:t>E. 5.1</w:t>
      </w:r>
    </w:p>
    <w:p>
      <w:r>
        <w:t>Ein Arzneimittel gilt nach Art. 65b Abs. 1 KVV als wirtschaftlich, wenn es die indizierte Heilwirkung mit möglichst geringem finanziellem Aufwand gewährleistet.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377 E. 5.3.2).</w:t>
      </w:r>
    </w:p>
    <w:p>
      <w:r>
        <w:rPr>
          <w:b/>
        </w:rPr>
        <w:t>E. 5.2</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 Fassung] ergangenen Rechtsprechung, insbesondere BGE 143 V 369 E. 6).</w:t>
      </w:r>
    </w:p>
    <w:p>
      <w:r>
        <w:rPr>
          <w:b/>
        </w:rPr>
        <w:t>E. 5.3</w:t>
      </w:r>
    </w:p>
    <w:p>
      <w:r>
        <w:t>Nach der Rechtsprechung wird der in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5.4</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vgl. auch nachfolgend E. 5.7.5). Zu prüfen bleibt in jedem Einzelfall, ob die Vorinstanz bei der Auswahl der Vergleichspräparate ihr weites Ermessen sachgerecht ausgeübt hat.</w:t>
      </w:r>
    </w:p>
    <w:p>
      <w:r>
        <w:rPr>
          <w:b/>
        </w:rPr>
        <w:t>E. 5.5</w:t>
      </w:r>
    </w:p>
    <w:p>
      <w:r>
        <w:t>Die Vorinstanz hat B._______ (in Kombination mit J._______ [Wirkstoff G._______, ein (...), vgl. Fachinformation unter www.compendium.ch]) im TQV mit F._______ verglichen. Unter Berücksichtigung eines Innovationszuschlags von 5 % gegenüber F._______ hat sie die Kosten pro Monat bei progressionsfreiem Überleben [PFS] gemäss den Zulassungsstudien K._______ (B._______) und L._______ (F._______) verglichen und das TQV-Niveau für B._______ (...) auf Fr. (...) festgelegt. In der angefochtenen Verfügung hält die Vorinstanz im Wesentlichen fest, dass E._______ aufgrund der ausgewiesenen besseren Wirksamkeit sowie der höheren Kosten aufgrund des Wirtschaftlichkeits- bzw. Sparsamkeitsprinzips nicht für den TQV berücksichtigt werden könne. Entsprechend den neuesten Urteilen des Bundesgerichts müsse die Vergleichsgruppe für den TQV nicht aus sämtlichen in Frage kommenden (d.h. vergleichbaren) Arzneimitteln gebildet werden. Mit F._______ liege ein geeignetes Vergleichsarzneimittel vor. Die ausgewiesene bessere Wirksamkeit von B._______ gegenüber F._______ werde mit einem Innovationszuschlag berücksichtigt.</w:t>
      </w:r>
    </w:p>
    <w:p>
      <w:r>
        <w:rPr>
          <w:b/>
        </w:rPr>
        <w:t>E. 5.6</w:t>
      </w:r>
    </w:p>
    <w:p>
      <w:r>
        <w:t>Die Beschwerdeführerin macht geltend, dass der Einbezug von F._______ in den TQV von B._______ den Vorgaben von Art. 65b Abs. 2 und Abs. 4bis KVV sowie Art. 34f Abs. 1 KLV widerspreche, weil F._______ und B._______ nicht vergleichbar seien.</w:t>
      </w:r>
    </w:p>
    <w:p>
      <w:r>
        <w:rPr>
          <w:b/>
        </w:rPr>
        <w:t>E. 5.6.1</w:t>
      </w:r>
    </w:p>
    <w:p>
      <w:r>
        <w:t>Die Beschwerdeführerin bringt in ihrer Beschwerde und ihrer Replik im Wesentlichen vor, dass F._______ als Monotherapie heute bei der Behandlung von (...) aufgrund des Wirksamkeitsvorteils der Kombinationstherapien B._______ plus G._______ oder E._______ plus F._______ praktisch nicht mehr verwendet werde (insbesondere bei ...). Dies bestätige auch eine kurzgutachterliche Stellungnahme von Dr. med. M._______ vom 28. Januar 2019. Aufgrund der unterschiedlichen Ausgangslagen in den klinischen Zulassungsstudien K._______ (B._______) und L._______ (F._______) könne der Wirksamkeitsvorteil von B._______ nicht durch einen Innovationszuschlag abgegolten werden. Auch die Verträglichkeitsprofile der beiden Therapien seien aus diesem Grund nicht vergleichbar. Zudem entspreche das Verträglichkeitsprofil von B._______ gemäss den Zulassungsstudien nicht der klinischen Realität, wo die Abbruchraten sehr viel geringer ausfallen würden. Im Übrigen würden die möglichen Kosten unerwünschter Ereignisse von B._______ ohnehin schon über das jährliche Rückzahlungsmodell abgegolten. Bestünden wie hier vergleichbare Kombinationspräparate könne gemäss Ziffer C.8.1.3 des Handbuchs betreffend die SL für den TQV keine Monotherapie berücksichtigt werden. Auch weil F._______ schon im TQV mit E._______ plus F._______ als Kombinationstherapie berücksichtigt werden könne, sei ein TQV mit F._______ als Monotherapie ausgeschlossen.</w:t>
      </w:r>
    </w:p>
    <w:p>
      <w:r>
        <w:rPr>
          <w:b/>
        </w:rPr>
        <w:t>E. 5.6.2</w:t>
      </w:r>
    </w:p>
    <w:p>
      <w:r>
        <w:t>Die Vorinstanz hält dem in ihrer Vernehmlassung sowie in ihrer Duplik im Wesentlichen entgegen, dass der Einbezug von F._______ in den TQV von B._______ aus pharmakologischer Sicht adäquat sei. F._______ und B._______ seien von Swissmedic für die gleiche Indikation zugelassen. Aufgrund verschiedener Leitlinienempfehlungen stelle F._______ auch im klinischen Alltag eine Therapiealternative zu B._______ dar. Die internationalen Leitlinien würden die Evidenz für die Wirksamkeit von F._______ als erfüllt betrachten und würden den Einsatz von F._______ analog zu B._______ und E._______ in der Zweitlinientherapie (...) empfehlen. So lange die Wirksamkeit und Zweckmässigkeit eines Arzneimittels gegeben sei und es zudem in den Leitlinien empfohlen werde, stelle es eine Therapiealternative dar und könne für einen TQV in Betracht gezogen werden. Swissmedic habe basierend auf der L._______-Studie und der K._______-Studie F._______ bzw. B._______ die gleiche Zulassung erteilt, unabhängig allfälliger kleiner Differenzen bezüglich Patientenpopulation. Für den Vergleich der Wirksamkeit von B._______ und F._______ lägen zwar keine direkten Vergleichsstudien vor. Im indirekten Vergleich zeige sich ein Vorteil bezüglich progressionsfreiem Überleben von B._______ gegenüber F._______, weshalb sich ein Innovationszuschlag von 5 % für B._______ gegenüber F._______ rechtfertige, wobei aber auch die schlechtere Verträglichkeit von B._______ zu berücksichtigen sei. Ein Vergleich zwischen Kombinationstherapien und Monotherapien sei möglich, insbesondere wenn die Wirksamkeit einer Kombinationstherapie mit derjenigen eines Monopräparats vergleichbar sei. Zu beachten sei auch, dass für gewisse (...) aufgrund der hohen Toxizität oder der klinischen Situation keine Kombinationstherapie mit B._______ in Frage komme. Auch unter diesem Gesichtspunkt komme der Monotherapie mit F._______ ein hoher Stellenwert zu.</w:t>
      </w:r>
    </w:p>
    <w:p>
      <w:r>
        <w:rPr>
          <w:b/>
        </w:rPr>
        <w:t>E. 5.6.3</w:t>
      </w:r>
    </w:p>
    <w:p>
      <w:r>
        <w:t>Laut der Fachinformation ist B._______ (Wirkstoff: C._______) im Bereich der Behandlung von D._______ für die folgende Indikation zugelassen: «In Kombination mit G._______ zur Behandlung von (...) nach Versagen einer Behandlung mit H._______ oder I._______» Die Beschwerdeführerin gab in ihrem Gesuch um Änderung der Limitierung für die Indikation D._______ vom (...) an, dass das zentrale Ziel der Therapie mit B._______ die Stabilisierung des Krankheitsgeschehens bei bestmöglichem Erhalt der Lebensqualität sei, da eine Heilung nach Auftreten von (...) nicht mehr erwartet werde könne. B._______ wirke dem Fortschreiten der Erkrankung auch nach Auftreten einer (...) entgegen. Der Begriff («...») beziehe sich auf D._______ mit (....), der das Endstadium der Erkrankung darstelle und mit den heutigen Behandlungsmethoden nicht mehr geheilt werden könne. In dieser Situation stehe die Palliation im Vordergrund der Therapie (Beilage 5 zu BVGer-act. 8).</w:t>
      </w:r>
    </w:p>
    <w:p>
      <w:r>
        <w:rPr>
          <w:b/>
        </w:rPr>
        <w:t>E. 5.6.4</w:t>
      </w:r>
    </w:p>
    <w:p>
      <w:r>
        <w:t>Das vorliegend von der Vorinstanz zum Vergleich herangezogene Arzneimittel F._______ (Wirkstoff: N._______, auch [...] genannt) wurde am (...) in die Spezialitätenliste aufgenommen. Es ist gemäss Fachinformation als Zweitlinien-Monotherapie für die folgende Indikation zugelassen: «...»</w:t>
      </w:r>
    </w:p>
    <w:p>
      <w:r>
        <w:rPr>
          <w:b/>
        </w:rPr>
        <w:t>E. 5.6.5</w:t>
      </w:r>
    </w:p>
    <w:p>
      <w:r>
        <w:t>Aus den Fachinformationen ergibt sich, dass sowohl F._______ als auch B._______ für die Zweitlinien-Behandlung (d.h. bei Fortschreiten der Erkrankung nach einer [...], vgl. dazu etwa [...], in: www.pharmawiki.ch; N._______ füllt therapeutische Lücke nach [...], in: [...]) derselben Krankheit zugelassen sind, was auch die Beschwerdeführerin nicht bestreitet (vgl. Rz. 33 der Replik vom 15. Februar 2019 [BVGer-act. 23]). Die beiden Arzneimittel gelten daher gemäss der Rechtsprechung im TQV grundsätzlich als vergleichbar (siehe oben E. 6.2). Nichts Anderes lässt sich aus dem von der Beschwerdeführerin mit der Replik eingereichten kurzgutachterlichen Stellungnahme von Dr. med. M._______ vom 28. Januar 2019 ableiten, wonach F._______ bei (...) aufgrund der schlechteren Wirksamkeit keine valable Therapieoption darstelle und die Monotherapie mit F._______ aus klinischer Sicht nur noch in vereinzelten Situationen indiziert sei, widerspiegelt sich dies doch nicht in der heilmittelrechtlichen Zulassung von F._______. Im Weiteren ergibt sich, was von der Beschwerdeführerin ebenso wenig bestritten wird (vgl. Rz. 33 der Replik), auch aus den von der Vorinstanz mit ihrer Vernehmlassung eingereichten internationalen Leitlinien ([...] [Beilagen 4-8 zu BVGer-act. 17]), und mithin aufgrund eines breit abgestützten, erfahrungsbasierten Fachexpertenkonsens, dass F._______ als Monotherapie für die Behandlung von (...) eine von Experten empfohlene Alternative zu B._______ in der Zweitlinientherapie (nach Versagen einer Therapie mit [...]) ist (siehe zum Beispiel Leitlinie der (deutschen) Fachgesellschaft [...] oder Interdisziplinäre Leitlinie für [...]).</w:t>
      </w:r>
    </w:p>
    <w:p>
      <w:r>
        <w:rPr>
          <w:b/>
        </w:rPr>
        <w:t>E. 5.6.6</w:t>
      </w:r>
    </w:p>
    <w:p>
      <w:r>
        <w:t>Bei F._______ handelt es sich um eine (...) Monotherapie, während B._______ plus J._______ eine (...) Kombinationstherapie darstellt. Mit der Vorinstanz ist davon auszugehen, dass dies nicht gegen eine Vergleichbarkeit von F._______ und B._______ spricht, zumal hierfür nicht der Wirkmechanismus massgebend ist. Wesentlich ist vielmehr, dass die im TQV berücksichtigten Arzneimittel eine andere Möglichkeit (Therapiealternative) zur Behandlung derselben Krankheit darstellen (vgl. BGE 144 V 14 E. 5.3; Publikation des BAG «Änderungen und Kommentar im Wortlaut» vom 1. Februar 2017 zu den Änderungen der KVV und der KLV per 1. März 2017 Ziff. III 1.3, S. 9), was hier, wie oben dargelegt, der Fall ist. Auch aus Ziffer 8.1.3 des Handbuchs betreffend Spezialitätenliste lässt sich nichts Abweichendes ableiten, bezieht sich diese Ziffer doch auf Kombinationspräparate und nicht auf Kombinationstherapien. Gegen eine Vergleichbarkeit von F._______ als Monotherapie mit B._______ spricht auch nicht, dass F._______ auch als Kombinationstherapie zusammen mit E._______ zugelassen und vergütungspflichtig ist, wird doch die Anwendung in der Zweitlinientherapie von F._______ in den Leitlinien sowohl als Monotherapie wie auch als Kombinationstherapie zusammen mit E._______ von Experten empfohlen (siehe zum Beispiel Leitlinie der (deutschen) Fachgesellschaft [...] oder Interdisziplinäre Leitlinie für [...]).</w:t>
      </w:r>
    </w:p>
    <w:p>
      <w:r>
        <w:rPr>
          <w:b/>
        </w:rPr>
        <w:t>E. 5.6.7</w:t>
      </w:r>
    </w:p>
    <w:p>
      <w:r>
        <w:t>Soweit die Beschwerdeführerin davon ausgeht, dass aufgrund des Wirksamkeitsvorteils von B._______ in Kombination mit J._______ gegenüber F._______, dieses nicht für den TQV herangezogen werden darf, ist zunächst darauf hinzuweisen, dass ein direkter Wirksamkeitsvergleich zwischen den beiden Arzneimitteln mangels direkter Vergleichsstudien nicht möglich ist. Ein indirekter Vergleich der Ergebnisse der L._______-Studie und der K._______-Studie zeigt bezüglich des progressionsfreien Überlebens (PFS) einen Vorteil der Kombinationstherapie B._______ plus J._______ (9.4 Monate [Durchschnitt aus den Ergebnissen des Prüfarztes und der unabhängigen radiologischen Beurteilung]) gegenüber F._______ (6.5 Monate). In Bezug auf das Gesamtüberleben (OS) betrug das Ergebnis bei B._______ plus J._______ 31.0 Monate und bei F._______ 26.4 Monate. Die Vorinstanz anerkennt gestützt auf diesen indirekten Vergleich einen klinischen Vorteil von B._______ plus J._______ gegenüber F._______. Dieser Vorteil erscheint aber nicht derart gross zu sein, dass eine indirekte Kosten-Nutzen-Analyse der beiden Arzneimittel nicht mehr möglich wäre, zumal auch die Zulassungsbehörde (Swissmedic) die Wirksamkeit der Monotherapie mit F._______ gestützt auf die Zulassungsstudie L._______ bejaht und als Zweitlinientherapie bei (...) die gleiche heilmittelrechtliche Zulassung erteilt hat (mit Listung in der SL, vgl. www.spezialitätenliste.ch, abgerufen am 20.12.2019) wie B._______ plus J._______. Einem klinischen Vorteil (in casu längeres progressionsfreies Überleben und Gesamtüberleben) ist, wie auch einem klinischen Nachteil, gemäss dargestelltem Recht (vgl. oben E. 5.3) bei der Preisgestaltung Rechnung zu tragen. Dies hat die Vorinstanz getan, indem sie B._______ einen Innovationszuschlag von 5 % gewährt hat. Die Vorinstanz ist dabei aber davon ausgegangen, dass die Vorteile von B._______ plus J._______ gegenüber F._______ beim progressionsfreien Überleben und beim Gesamtüberleben durch die schlechtere Verträglichkeit und der damit einhergehenden höheren Therapieabbruchrate relativiert wird. Diese Einschätzung ist aufgrund der in den Fachinformationen publizierten Nebenwirkungsprofile von B._______ und F._______ sowie der bei einer Folgeuntersuchung von K._______ durch (...) festgestellten Therapieabbruchrate wegen unerwünschter Nebenwirkungen bei einer Behandlung mit B._______ plus J._______ von 29 % (BAG-act. 10; vgl. auch E-Mail der Vorinstanz vom 17. März 2018 [Beilage 25 zu BVGer-act. 25]; versus einer Therapieabbruchrate von ca. 2% wegen unerwünschter Begleiterscheinungen bei einer Therapie mit F._______, vgl. [...]) nachvollziehbar. Die Vorinstanz weist zu Recht darauf hin, dass Swissmedic die Zulassung von F._______ und B._______ gestützt auf die L._______-Studie und die K._______-Studie erteilt hat, weshalb der indirekte Vergleich der Vorinstanz trotz der geltend gemachten unterschiedlichen Patientenpopulationen (aufgrund einer fehlenden direkten Vergleichsstudie) nicht unzulässig erscheint.</w:t>
      </w:r>
    </w:p>
    <w:p>
      <w:r>
        <w:rPr>
          <w:b/>
        </w:rPr>
        <w:t>E. 5.6.8</w:t>
      </w:r>
    </w:p>
    <w:p>
      <w:r>
        <w:t>Bei der Auswahl von F._______ als Vergleichspräparat hat sich die Vorinstanz zusammenfassend auf die Zulassung durch Swissmedic bzw. die Fachinformationen sowie internationale Leitlinien gestützt. Der Einbezug von F._______ in den TQV mit B._______ erfolgte damit gestützt auf sachliche Gründe und ist mit Blick auf das der Vorinstanz zustehende weite Ermessen bei der Auswahl der Vergleichspräparate nicht zu beanstanden. Die Modalitäten des durchgeführten TQV mit F._______ sind nachvollziehbar und werden von der Beschwerdeführerin nicht konkret beanstandet, weshalb darauf nicht weiter einzugehen ist.</w:t>
      </w:r>
    </w:p>
    <w:p>
      <w:r>
        <w:rPr>
          <w:b/>
        </w:rPr>
        <w:t>E. 5.7</w:t>
      </w:r>
    </w:p>
    <w:p>
      <w:r>
        <w:t>Weiter macht die Beschwerdeführerin geltend, dass der Nichteinbezug des vergleichbaren Arzneimittels E._______ (in Kombination mit F._______) in den TQV Art. 65b Abs. 2 und Abs. 4bis KVV sowie Art. 34f Abs. 1 KLV verletze.</w:t>
      </w:r>
    </w:p>
    <w:p>
      <w:r>
        <w:rPr>
          <w:b/>
        </w:rPr>
        <w:t>E. 5.7.1</w:t>
      </w:r>
    </w:p>
    <w:p>
      <w:r>
        <w:t>Die Beschwerdeführerin bringt im Wesentlichen vor, dass die Argumente, mit welchen die Vorinstanz den Ausschluss von E._______ vom TQV begründe, sachlich nicht haltbar seien. Der Ausschluss von E._______ vom TQV erfolge offenbar einzig, um eine Preissenkung auf das APV-Niveau zu erzielen bzw. den Preis von B._______ zu senken. Damit missbrauche die Vorinstanz ihr Ermessen. Aus Art. 65d Abs. 4bis KVV ergebe sich, dass eine Auswahl der Vergleichspräparate allein aufgrund ihres Preises nicht zulässig sei. Vielmehr müsse eine repräsentative, auf sachlichen Kriterien beruhende Auswahl getroffen werden. Auch besser wirksame Arzneimittel seien im TQV zu berücksichtigen. Bei B._______ plus J._______ und E._______ plus F._______ handle es sich um die beiden einzigen, sich auf dem Markt befindenden Kombinationstherapien zur Behandlung des (...). Dass diese beiden Kombinationstherapien gegenseitig im TQV miteinander verglichen würden, sei nicht nur sachgerecht, sondern von Art. 65d Abs. 2 und Abs. 4bis KVV geradezu zwingend gefordert. Der angebliche Vorteil von E._______ gegenüber B._______ in Bezug auf die Abbruchrate rechtfertige keinen Ausschluss vom TQV, da diese mit einem Innovationszuschlag berücksichtigt werden könne. So habe die Vorinstanz ja selbst E._______ mit B._______ verglichen und dabei E._______ einen Innovationszuschlag von 5 % gewährt. Der klinische Vorteil von E._______ sei damit quantifiziert, was umgekehrt wiederum im TQV von B._______ zu berücksichtigen sei, indem der Preis von E._______ entsprechend reduziert werde.</w:t>
      </w:r>
    </w:p>
    <w:p>
      <w:r>
        <w:rPr>
          <w:b/>
        </w:rPr>
        <w:t>E. 5.7.2</w:t>
      </w:r>
    </w:p>
    <w:p>
      <w:r>
        <w:t>Die Vorinstanz hält dem zusammengefasst entgegen, dass es zulässig sei, im TQV Therapien nicht zu berücksichtigen, deren Wirksamkeit bzw. Verträglichkeit besser sei, als diejenigen des Ausgangspräparats. Im indirekten Vergleich zwischen B._______ und E._______ habe sich gezeigt, dass beide Arzneimittel bezüglich Überlebensvorteil und Verlängerung des progressionsfreien Überlebens vergleichbar seien, dass jedoch die Rate der Nebenwirkungen, die zu einem dauerhaften Therapieabbruch führten, unter B._______ deutlich höher liege als bei E._______. Aufgrund der besseren Verträglichkeit sei im TQV von E._______ ein Innovationszuschlag von 5 % gegenüber B._______ berücksichtigt worden. Trotz der gegebenen Vergleichbarkeit der beiden Kombinationstherapien könne E._______ aber nicht im TQV von B._______ berücksichtigt werden. Es würde der Zielsetzung einer qualitativ hochstehenden und zweckmässigen gesundheitlichen Versorgung zu möglichst günstigen Kosten nach Art. 43 Abs. 6 KVG widersprechen, wenn Arzneimittel der SL mittels TQV von neueren Arzneimitteln mit höherem Nutzen profitieren würden. Ein solcher Vergleich hätte zur Folge, dass «ältere» Arzneimittel aus dem therapeutischen Fortschritt von «neueren» Arzneimitteln preislich einen Nutzen ziehen würden. Wirksamere und teurere Arzneimittel dürften daher aus dem TQV ausgeschlossen werden.</w:t>
      </w:r>
    </w:p>
    <w:p>
      <w:r>
        <w:rPr>
          <w:b/>
        </w:rPr>
        <w:t>E. 5.7.3</w:t>
      </w:r>
    </w:p>
    <w:p>
      <w:r>
        <w:t>E._______ (Wirkstoff: O._______), das seit (...) auf der Spezialitätenliste aufgeführt ist, ist laut Fachinformation von Swissmedic für die folgende Indikation zugelassen «...»</w:t>
      </w:r>
    </w:p>
    <w:p>
      <w:r>
        <w:rPr>
          <w:b/>
        </w:rPr>
        <w:t>E. 5.7.4</w:t>
      </w:r>
    </w:p>
    <w:p>
      <w:r>
        <w:t>Aufgrund der Zulassungen sowie der Therapieleitlinien sind B._______ in Kombination mit J._______ und E._______ in Kombination mit F._______ für die Behandlung von (...) als Therapiealternativen zu betrachten. E._______ würde damit grundsätzlich als Vergleichspräparat für den TQV von B._______ in Frage kommen, was auch die Vorinstanz anerkennt (Vernehmlassung vom 29. Oktober 2018 Rz. 14 [BVGer-act. 17]).</w:t>
      </w:r>
    </w:p>
    <w:p>
      <w:r>
        <w:rPr>
          <w:b/>
        </w:rPr>
        <w:t>E. 5.7.5</w:t>
      </w:r>
    </w:p>
    <w:p>
      <w:r>
        <w:t>Nach der Rechtsprechung besteht jedoch keine Pflicht, die Vergleichsgruppe für den TQV aus sämtlichen in Frage kommenden, d.h. vergleichbaren Arzneimittel zu bilden (Urteil des BGer 9C_354/2017 vom 26. Januar 2018 E. 6.2 mit Hinweisen), weshalb die Beschwerdeführerin allein aus der Vergleichbarkeit nichts zu ihren Gunsten ableiten kann. Für die Vergleichsgruppenbildung ist vielmehr auch das Ziel der möglichst günstigen Kosten (bei qualitativ hochstehender und zweckmässiger gesundheitlicher Versorgung) entscheidend. Eine Pflicht, die Vergleichsgruppe aus sämtlichen in Frage kommenden (d.h. vergleichbaren) Arzneimitteln zu bilden,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mit Hinweisen).</w:t>
      </w:r>
    </w:p>
    <w:p>
      <w:r>
        <w:rPr>
          <w:b/>
        </w:rPr>
        <w:t>E. 5.7.6</w:t>
      </w:r>
    </w:p>
    <w:p>
      <w:r>
        <w:t>Die Vorinstanz geht hinsichtlich der Verträglichkeit bzw. der Nebenwirkungen von einem Vorteil von E._______ gegenüber B._______ aus, was angesichts der in den heilmittelrechtlichen Zulassungen veröffentlichten Verträglichkeitsprofile sowie der wesentlichen tieferen Therapieabbruchrate bei E._______ plus F._______ von 7 % aufgrund unerwünschter Ereignisse (UE) in der P._______-Studie (vgl. Stellungnahme der Arzneimittelkommission der deutschen Ärzteschaft zur Nutzenbewertung von O._______, S. 14 [abrufbar unter www.akdae.de]) nachvollziehbar ist. Obwohl die Vorinstanz die beiden Arzneimittel bezüglich Überlebensvorteil und Verlängerung des progressionsfreien Überlebens als vergleichbar betrachtet, weist E._______ im indirekten Vergleich der Ergebnisse der P._______-Studie mit der K._______-Studie aber dennoch Vorteile im progressionsfreiem Überleben (PFS: 11.2 Monate vs. 9.4 Monate [Durchschnitt aus den Ergebnissen des Prüfarztes und der unabhängigen radiologischen Beurteilung]), bei der objektiven Ansprechrate (OR: 26.2 % vs. 12.6 %) sowie im klinische Nutzen (CBR: 68.0 % vs. 51.3 %) aus. Die Kosten pro Monat (30.42 Tage) bei progressionsfreiem Überleben (9.4 Monate) belaufen sich bei der Kombinationstherapie von B._______ ([...]; FAP: Fr. [...]) plus J._______ ([...]; FAP: Fr. [...]) auf Fr. [...]. Dagegen kostet eine Therapie mit E._______ ([...]; FAP: Fr. [...]) plus F._______ ([...]; FAP: Fr. [...]) pro Monat bei progressionsfreiem Überleben (11.2 Monate) Fr. (...).</w:t>
      </w:r>
    </w:p>
    <w:p>
      <w:r>
        <w:rPr>
          <w:b/>
        </w:rPr>
        <w:t>E. 5.7.7</w:t>
      </w:r>
    </w:p>
    <w:p>
      <w:r>
        <w:t>Können nach der Rechtsprechung gleich wirksame, aber überdurchschnittlich teure Arzneimittel vom TQV ausgeschlossen werden, um zu verhindern, dass das Preisniveau hoch bleibt, ist mit der Vorinstanz davon auszugehen, dass mit Blick auf das Wirtschaftlichkeits- bzw. das Sparsamkeitsgebot gemäss Art. 43 Abs. 6 KVG umso mehr auch besser wirksame und (in der Kombinationstherapie) teurere Arzneimittel vom TQV ausgeschlossen werden können, ohne dass dabei der Vorinstanz ein unsachliche Ausübung ihres weiten Ermessenspielraums vorzuwerfen ist. Steht wie hier mit F._______ ein geeignetes Vergleichspräparat zur Verfügung, ist es damit nicht zu beanstanden, dass die Vorinstanz das besser wirksame und verträglichere, aber in der Kombinationstherapie auch teurere Arzneimittel E._______ vom TQV ausschliesst. Es wurde bereits dargelegt, dass sich der TQV nicht zwingend auf Kombinationstherapien beschränken muss, sondern hierfür auch Monotherapien herangezogen werden können, sofern sie bei der Behandlung einer Krankheit eine Therapiealternative darstellen. Der Nichteinbezug von E._______ in den TQV von F._______ verletzt damit Art. 65b Abs. 2 und Abs. 4bis KVV sowie Art. 34f Abs. 1 KLV nicht und ist mit Blick auf das der Vorinstanz zustehende weite Ermessen bei der Auswahl der Vergleichspräparate nicht zu beanstanden.</w:t>
      </w:r>
    </w:p>
    <w:p>
      <w:r>
        <w:rPr>
          <w:b/>
        </w:rPr>
        <w:t>E. 5.8</w:t>
      </w:r>
    </w:p>
    <w:p>
      <w:r>
        <w:t>Weiter rügt die Beschwerdeführerin, dass die Vorinstanz bei der Bildung der Vergleichsgruppe für den TQV von B._______ das Rechtsgleichheitsgebot und das Willkürverbot verletzt hat.</w:t>
      </w:r>
    </w:p>
    <w:p>
      <w:r>
        <w:rPr>
          <w:b/>
        </w:rPr>
        <w:t>E. 5.8.1</w:t>
      </w:r>
    </w:p>
    <w:p>
      <w:r>
        <w:t>Die Beschwerdeführerin bringt im Wesentlichen vor, dass die Indikationen von B._______ und E._______ praktisch deckungsgleich seien. Indem die Vorinstanz E._______ vom TQV ausschliesse und stattdessen F._______ als Monotherapie berücksichtige, nehme es ohne sachliche Grundlage eine rechtliche Differenzierung zwischen vergleichbaren Sachverhalten vor. Zudem sei es rechtsungleich, dass die Vorinstanz für B._______ einen TQV mit E._______ ausschliesse, umgekehrt aber B._______ für den TQV von E._______ herangezogen habe. Auch habe die Vorinstanz beim TQV von E._______ die Monotherapie mit F._______ nicht berücksichtigt. Die entsprechenden Zulassungsinhaberinnen seien damit rechtsungleich behandelt worden.</w:t>
      </w:r>
    </w:p>
    <w:p>
      <w:r>
        <w:rPr>
          <w:b/>
        </w:rPr>
        <w:t>E. 5.8.2</w:t>
      </w:r>
    </w:p>
    <w:p>
      <w:r>
        <w:t>Die Vorinstanz hält dem entgegen, dass sie in jedem Einzelfall darüber befinde, welche Arzneimittel in den TQV miteinzubeziehen seien, damit den Zielen des KVG nachgelebt werden könne. Sie setze BGE 143 V 369 in jedem Fall gleichermassen um. Im Übrigen kommen der Rechtsgleichheit bzw. dem Anspruch auf Gleichbehandlung von Gewerbegenossen im Bereich der Preisfestsetzung von Arzneimitteln der SL nur eine eingeschränkte Bedeutung zu.</w:t>
      </w:r>
    </w:p>
    <w:p>
      <w:r>
        <w:rPr>
          <w:b/>
        </w:rPr>
        <w:t>E. 5.8.3</w:t>
      </w:r>
    </w:p>
    <w:p>
      <w:r>
        <w:t>Im Arzneimittelmarkt der OKP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5.8.4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138 I 305 E. 4.3; 137 I 1 E. 2.4; 133 I 149 E. 3.1 m.w.H.).</w:t>
      </w:r>
    </w:p>
    <w:p>
      <w:r>
        <w:rPr>
          <w:b/>
        </w:rPr>
        <w:t>E. 5.8.5</w:t>
      </w:r>
    </w:p>
    <w:p>
      <w:r>
        <w:t>Wie bereits oben dargelegt wurde, beruht die von der Vorinstanz vorgenommene Auswahl der Vergleichspräparate für den TQV auf sachlichen Gründen. Es ist nicht grundsätzlich unzulässig, Arzneimittel vom TQV auszuschliessen, auch wenn sie über die gleiche Indikation wie das Ausgangspräparat verfügen. In dieser Hinsicht liegt keine Verletzung der Rechtsgleichheit bzw. des Willkürverbots vor. Zu beachten ist zudem, dass im System der Preisüberprüfungen von Arzneimitteln der SL jedes Arzneimittel gesondert zu überprüfen ist. Eine fixe Bildung von Gruppen von Konkurrenzarzneimitteln, die jeweils im gleichen Paket einem gegenseitigen TQV unterworfen werden, ist weder vom Gesetz noch von den Verordnungen vorgesehen. Vielmehr verlangen Gesetz und Verordnungen, dass jedes einzelne Arzneimittel jederzeit sämtliche SL-Aufnahmebedingungen einzuhalten hat, ansonsten es von der SL gestrichen wird (vgl. Urteil des BVGer C-536/2015, C537/2015 vom 6. Juni 2013 E. 8.3.2). Aus dem Rechtsgleichgebot wie auch aus dem Willkürverbot kann die Beschwerdeführerin damit keinen Anspruch darauf ableiten, dass beim TQV von B._______ die gleiche Vergleichsgruppe wie beim TQV bei E._______ gebildet wird.</w:t>
      </w:r>
    </w:p>
    <w:p>
      <w:r>
        <w:rPr>
          <w:b/>
        </w:rPr>
        <w:t>E. 5.9</w:t>
      </w:r>
    </w:p>
    <w:p>
      <w:r>
        <w:t>Schliesslich wirft die Beschwerdeführerin der Vorinstanz bei der Vergleichsgruppenbildung des TQV von B._______ eine Verletzung des Vertrauensgrundsatzes vor.</w:t>
      </w:r>
    </w:p>
    <w:p>
      <w:r>
        <w:rPr>
          <w:b/>
        </w:rPr>
        <w:t>E. 5.9.1</w:t>
      </w:r>
    </w:p>
    <w:p>
      <w:r>
        <w:t>Die Beschwerdeführerin macht geltend, dass die Vorinstanz in ihrer Mitteilung vom 20. April 2017 von sich aus und vorbehaltlos E._______ als Vergleichsarzneimittel für den TQV von B._______ vorgeschlagen habe. Es habe kein Anlass bestanden, die Richtigkeit und Ernsthaftigkeit der Aussagen der Vorinstanz anzuzweifeln. Die formelle Mitteilung vom 20. April 2017 bilde ohne Weiteres eine Vertrauensgrundlage, auf welche sich die Beschwerdeführerin habe verlassen dürfen. Die Vorinstanz sei an diese Mitteilung gebunden und habe, wie in Aussicht gestellt, den TQV mit E._______ durchzuführen. Zudem sei weder bei der SL-Aufnahme von B._______ für die Indikation D._______ im Jahr 2013 noch bei der Preisüberprüfung per 1. November 2016 ein TQV mit F._______ in Betracht gezogen worden. Auch in sämtlichen Korrespondenzen betreffend das Gesuch um Änderung der Limitierung vom 24. Oktober 2016 sei ein solcher TQV bis zum Februar/März 2018 nie ein Thema gewesen. Erst als die Vorinstanz realisiert habe, dass sie einen TQV durchführen müsse, habe sie das Vergleichspräparat F._______ ins Spiel gebracht. Die Kehrtwende der Vorinstanz in Bezug auf den TQV mit F._______ entbehre jeglicher sachlichen Grundlage. F._______ sei bereits per (...) in die SL aufgenommen worden und seine Indikation und Limitierung hätten sich seitdem nicht verändert. Entgegen der Behauptung der Vorinstanz gebe es keine neuen Studienergebnisse, die einen TQV mit F._______ nahelegen würden. Dass die Vorinstanz für den TQV auf ein Monopräparat, das seit Jahren in der SL gelistet sei, abstelle, obwohl mit E._______ ein geeignetes Vergleichspräparat zur Verfügung stünde, um damit eine Preissenkung von über 40 % zu erzielen, sei mehr als nur treuwidrig. In ihrer Replik weist die Beschwerdeführerin darauf hin, dass der Vertrauensschutz keine zwischenzeitlich erfolgten irreversiblen Dispositionen voraussetze, wenn dem vertrauensbegründenden Akt wie vorliegend ein qualifiziertes Verfahren vorausgegangen sei.</w:t>
      </w:r>
    </w:p>
    <w:p>
      <w:r>
        <w:rPr>
          <w:b/>
        </w:rPr>
        <w:t>E. 5.9.2</w:t>
      </w:r>
    </w:p>
    <w:p>
      <w:r>
        <w:t>Die Vorinstanz hält dem entgegen, dass mit der Mitteilung vom 20. April 2017 keine vorbehaltlose Ankündigung erfolgt sei, der TQV werde mit E._______ durchgeführt. Im Laufe des Verfahrens bezüglich des Gesuchs um Änderung der Limitierung habe lange Zeit die Limitierung noch nicht festgestanden und sei Gegenstand eines umfassenden Schriftenwechsels gewesen. Die Beschwerdeführerin habe nicht davon ausgehen dürfen, dass die Wahl der Vergleichspräparate für den TQV definitiv festgestanden habe. Zudem sie nicht davon auszugehen, dass die Beschwerdeführerin während des laufenden Verfahrens Dispositionen getroffen habe, die nicht ohne Nachteil wieder rückgängig gemacht werden könnten. Die Vorinstanz weist weiter darauf hin, dass sich seit dem Jahr 2013 die Rechtslage, insbesondere aufgrund der Rechtsprechung verändert habe. Gemäss BGE 142 V 26 müsse ein TQV durchgeführt werde, wenn die Möglichkeit dazu bestehe. Als sich abgezeichnet habe, dass ein TQV mit E._______ nicht möglich sei, habe sie sich nochmals vertieft mit den klinischen Studien und den Leitlinien auseinandergesetzt. Das habe zum Ergebnis geführt, dass F._______ als Vergleichsarzneimittel anerkannt worden sei.</w:t>
      </w:r>
    </w:p>
    <w:p>
      <w:r>
        <w:rPr>
          <w:b/>
        </w:rPr>
        <w:t>E. 5.9.3</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mit Hinweisen; Urteil des BGer 1C_139/2017 vom 6. Februar 2018 E. 3.2).</w:t>
      </w:r>
    </w:p>
    <w:p>
      <w:r>
        <w:rPr>
          <w:b/>
        </w:rPr>
        <w:t>E. 5.9.4</w:t>
      </w:r>
    </w:p>
    <w:p>
      <w:r>
        <w:t>Die Mitteilung der Vorinstanz vom 20. April 2017 ist in Bezug auf die Auswahl der Vergleichspräparate für den TQV nicht als Vertrauensgrundlage zu betrachten, wurden damit doch im Hinblick auf die Prüfung des Gesuchs um Änderung der Limitierung keine rechtlich verbindlichen Anordnungen getroffen. Vielmehr erfolgte diese Mitteilung während des laufenden Abklärungsverfahrens, wobei auch die Wirtschaftlichkeit von B._______ in der Indikation D._______ zur Diskussion stand. Zudem erfolgte die Mitteilung vom 20. April 2017 bevor das Bundesgericht am 30. Oktober 2017 das Leiturteil zur Vergleichsgruppenbildung im TQV (BGE 143 V 369 [9C_695/2016]) fällte, auf das sich die Vorinstanz dann beim Ausschluss von E._______ vom TQV hauptsächlich stützte. Die Vorinstanz war gehalten, diese Rechtsprechung zu beachten und handelte damit nicht treuwidrig. Weiter ist nicht ersichtlich, welche nicht ohne Nachteil rückgängig zu machende Dispositionen die Beschwerdeführerin aufgrund der Mitteilung vom 20. April 2017 getroffen haben soll. Weshalb hier ausnahmsweise von der Voraussetzung der Vertrauensbetätigung abgesehen werden müsste, vermag die Beschwerdeführerin mit den Hinweisen auf die Urteile des Bundesverwaltungsgerichts A-3143/2010 und B-2785/2008 nicht darzutun.</w:t>
      </w:r>
    </w:p>
    <w:p>
      <w:r>
        <w:rPr>
          <w:b/>
        </w:rPr>
        <w:t>E. 5.9.5</w:t>
      </w:r>
    </w:p>
    <w:p>
      <w:r>
        <w:t>Aus dem Umstand, dass im Rahmen der SL-Aufnahme von B._______ in der Indikation D._______ (Verfügung vom 10. Juli 2013) sowie bei der Preisreduktion per 1. November 2016 (Verfügung vom 25. Oktober 2016) kein TQV durchgeführt und die Möglichkeit eines TQV mit F._______ damals verneint wurde, kann die Beschwerdeführerin nichts zu ihren Gunsten ableiten. Zu beachten ist hierbei, dass B._______ für die Indikation D._______ mit Verfügung vom 10. Juli 2013 nur befristet in die Spezialitätenliste aufgenommen wurde, insbesondere auch, weil das Kriterium der Wirtschaftlichkeit nur als befristet erfüllt betrachtet wurde. Zwar weist die Beschwerdeführerin zu Recht darauf hin, dass bereits nach der damals geltenden Rechtslage bei der SL-Aufnahme ein TQV vorzunehmen gewesen wäre. Hat die Vorinstanz bei der Aufnahme von B._______ für die Indikation D._______ sowie der Preisüberprüfung im Jahr 2016 (zu Unrecht) zugunsten der Beschwerdeführerin keinen TQV durchgeführt, darf dies nicht als zeitlich unbeschränkte Zusicherung verstanden werden, dass der Preis von B._______ künftig nicht im Rahmen einer rechtskonformen Wirtschaftlichkeitsprüfung unter Berücksichtigung eines APV und eines TQV bestimmt wird. Das öffentliche Interesse an möglichst günstigen Kosten (bei qualitativ hochstehender und zweckmässiger gesundheitlicher Versorgung; Art. 43 Abs. 6 KVG) ist hier höher zu gewichten als das private Interesse der Beschwerdeführerin an einem höheren Preis für ihr Arzneimittel. Der Vertrauensschutz steht damit der Durchführung eines TQV mit F._______ nicht entgegen.</w:t>
      </w:r>
    </w:p>
    <w:p>
      <w:r>
        <w:rPr>
          <w:b/>
        </w:rPr>
        <w:t>E. 6</w:t>
      </w:r>
    </w:p>
    <w:p>
      <w:r>
        <w:t>Aus dem Dargelegten folgt, dass die von der Vorinstanz durchgeführte Wirtschaftlichkeitsprüfung mittels TQV und APV rechtskonform erfolgt ist und die Vorinstanz ihr Ermessen pflichtgemäss ausgeübt hat. Da somit B._______ zu Publikumspreisen, welche befristet sei dem 1. November 2016 für die erweiterte Limitierung zur Behandlung von (...) gelten (vgl. insbesondere Verfügung vom 25. Oktober 2016) und welche von der Beschwerdeführerin weiterhin in unveränderter Höhe verlangt werden, nicht wirtschaftlich ist, ist die Beschwerde abzuweisen. Da mit Erlass des vorliegenden Urteils die verfügten vorsorglichen Massnahmen (s.o. Sachverhalt F. und J.) dahinfallen (vgl. Hansjörg Seiler, in: Praxiskommentar Verwaltungsverfahrensgesetz, 2. Aufl. 2016, N 54 zu Art. 56 mit Hinweis auf BGE 136 V 131 E. 1.1.2), ist die Vorinstanz gleichzeitig anzuweisen, die erweiterte Limitierung von B._______ «In Kombination mit G._______ zur Behandlung von (...) nach Versagen einer Behandlung mit H._______ oder I._______.» aus der SL zu streichen.</w:t>
      </w:r>
    </w:p>
    <w:p>
      <w:r>
        <w:rPr>
          <w:b/>
        </w:rPr>
        <w:t>E. 7.1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7.2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