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C-3380/2008 vom 10. Februar 2010</w:t>
      </w:r>
    </w:p>
    <w:p>
      <w:r>
        <w:t>Bundesverwaltungsgericht, 2010-02-10, FR</w:t>
      </w:r>
    </w:p>
    <w:p>
      <w:r>
        <w:rPr>
          <w:b/>
        </w:rPr>
        <w:t xml:space="preserve">Quelle: </w:t>
      </w:r>
      <w:r>
        <w:t>https://mcp.opencaselaw.ch/entscheid/bvger_C-3380_2008</w:t>
      </w:r>
    </w:p>
    <w:p>
      <w:r>
        <w:t>FR: TAF C-3380/2008 du 10 février 2010</w:t>
      </w:r>
    </w:p>
    <w:p>
      <w:r>
        <w:t>IT: TAF C-3380/2008 del 10 febbraio 2010</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La recourante ne peut tirer argument du Règlement (CEE) n° 883/2004 du Parlement européen et du Conseil du 29 avril 2004 portant sur la coordination des systèmes de sécurité sociale et amené à remplacer au sein de l'UE le Règlement (CEE) 1408/71 qui ne sera applicable qu'à la date de l'entrée en vigueur de sa réglementation d'application (cf. art. 91 du Règlement CEE n° 883/2004 [JO L 314 du 7 juin 2004]; Bettina Kahil-Wolff/Carole Sonnenberg/Christoph Rohrer, Récents développements de la coordination des régimes nationaux de sécurité sociale, in: Schweizerisches Jahrbuch für Europarecht 2006/2007, Berne 2007, p. 133s), soit le 1er mai 2010 (cf. art. 97 du Règlement (CEE) n° 987/2009 du Parlement européen et du Conseil du 16 septembre 2009 fixant les modalités d'application du Règlement (CEE) n° 883/2004 [JO L 284 du 30 octobre 2009]). De surcroît, son application en droit suisse n'est pas automatique mais nécessite la modification par le législateur helvétique de l'annexe II de l'ALCP, ce qui est actuellement à l'étude (cf. Assurances Sociales 2008, rapport annuel de l'Office fédéral des assurances sociales en application de l'art. 76 LPGA, approuvé par le Conseil fédéral le 1er juillet 2009, p. 19).</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 Il sied de préciser dans ce contexte que la nouvelle réglementation européenne précitée contient exactement les mêmes prescriptions (cf. art. 46 par. 3 du Règlement (CEE) 883/2004 et art. 49 par. 2 du Règlement (CEE) 987/2009).</w:t>
      </w:r>
    </w:p>
    <w:p>
      <w:r>
        <w:rPr>
          <w:b/>
        </w:rPr>
        <w:t>E. 3.5</w:t>
      </w:r>
    </w:p>
    <w:p>
      <w:r>
        <w:t>La décision litigieuse est datée du 28 avril 2008, alors que l'arrêt des activités de la recourante remonte à 2003. S'agissant du droit applicable, il convient donc encore de préciser qu'à partir du 1er janvier 2004, la présente procédure est régie par la teneur de la LAI modifiée par la novelle du 21 mars 2003 (4e révision) et que le 1er janvier 2008 les modifications de la LAI introduites par la novelle du 6 octobre 2006 (5e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cités). En l'espèce, la recourante a déposé une demande de prestations AI le 26 mars 2007, auprès des autorités compétentes espagnoles. Cette date est déterminante conformément à l'art. 86 in fine du Règlement (CEE) n° 1408/71 qui prescrit que la date à laquelle les demandes, les déclarations et recours ont été introduits auprès d'une autorité ou d'une juridiction du second Etat est considérée comme la date de l'introduction auprès de l'autorité, de l'institution ou de la juridiction compétente pour en connaître. Les dispositions topiques sont donc citées dans le présent arrêt dans leur teneur en vigueur au 31 décembre 2007, sauf mention contraire.</w:t>
      </w:r>
    </w:p>
    <w:p>
      <w:r>
        <w:rPr>
          <w:b/>
        </w:rPr>
        <w:t>E. 4</w:t>
      </w:r>
    </w:p>
    <w:p>
      <w:r>
        <w:t>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La recourante a versé des cotisations à l'AVS/AI pendant plus d'une année au total et remplit donc la condition de la durée minimale de cotisations. Il reste à examiner si et dans quelle mesure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w:t>
      </w:r>
    </w:p>
    <w:p>
      <w:r>
        <w:rPr>
          <w:b/>
        </w:rPr>
        <w:t>E. 6.3</w:t>
      </w:r>
    </w:p>
    <w:p>
      <w:r>
        <w:t>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6.4</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7.1</w:t>
      </w:r>
    </w:p>
    <w:p>
      <w:r>
        <w:t>En l'espèce la décision litigieuse se fonde sur la prise de position du 18 février 2008 du Dr G._______ de l'OAIE qui ne retient comme diagnostic essentiel que la gonarthrose opérée par prothèse, estimant que les autres atteintes au niveau de la colonne et l'obésité non chiffrée ne sont pas significatives. A son avis, la limitation de la mobilité du genou est incompatible avec un travail lourd et nécessitant des déplacements. Toutefois, une activité de substitution plus sédentaire lui paraît exigible à 80% entre l'opération de 2002 et trois mois après celle de 2003, puis à 100%. Il ressort de l'appréciation du Dr G._______ que celui-ci a tiré ses conclusions principalement de l'expertise E213 établie par la Dresse F.________, laquelle exclut en effet l'exercice de l'activité antérieure. Ce médecin admet toutefois la reprise d'une activité adaptée à temps complet en spécifiant que l'assurée ne peut pas travailler sur un écran ni être autonome sur son lieu de travail (tributaire d'un tiers), mais sans en donner les raisons.</w:t>
      </w:r>
    </w:p>
    <w:p>
      <w:r>
        <w:rPr>
          <w:b/>
        </w:rPr>
        <w:t>E. 7.2</w:t>
      </w:r>
    </w:p>
    <w:p>
      <w:r>
        <w:t>Le tableau clinique concorde sur le fait que l'on ne peut plus attendre de la recourante qu'elle reprenne son activité d'agricultrice devenue incompatible avec ses problèmes au genou. En revanche, la mesure dans laquelle une activité de substitution est possible n'est pas aussi limpide que l'affirme le Dr G._______ si l'on se réfère à la totalité des pièces médicales figurant au dossier. En effet, ce médecin fait fi des répercussions de l'obésité, au motif qu'elle n'est pas chiffrée. Or, le certificat médical du "Consejo general de colegios oficiales de medicos de españa" du 10 décembre 2007 indique expressément que l'obésité est morbide avec un indice de masse corporelle [IMC] de 45, ce qui marque une surcharge pondérale d'importance. Certes, d'après la jurisprudence, l'obésité ne constitue pas en soi une invalidité au sens de la loi. Elle joue en revanche un rôle dans l'assurance-invalidité lorsqu'elle a provoqué une maladie ou un accident qui entraîne une atteinte à la santé physique, mentale ou psychique ou si elle résulte elle-même d'une atteinte à la santé physique, mentale ou psychique qui a valeur de maladie et qu'ainsi, la capacité de gain est sensiblement réduite et ne peut être augmentée de façon importante par des mesures raisonnablement exigibles (cf. arrêt du du Tribunal fédéral (des assurance sociales) du 17 octobre 1983 in Revue à l'intention des caisses de compensation [RCC; publication de l'Office fédéral des assurances sociales] 1984 p. 359, arrêt du Tribunal fédéral I 757/06 du 5 juin 2007 consid. 5.1). La situation de fait doit faire l'objet d'une appréciation globale ce qui implique de tenir compte des interactions éventuelles entre l'obésité et les autres atteintes à la santé. De plus, ce même certificat évoque un syndrome dépressif de longue durée. Celui-ci n'est certes pas corroboré par les autres avis médicaux se trouvant dans le dossier, mais ces derniers émanent principalement de spécialistes de l'appareil locomoteur qui ne s'expriment pas sur ce point. Néanmoins, dans la liste des traitements médicamenteux actuels dressée par la Dresse F.________ dans l'expertise E213, figure la fluoxétine qui est un antidépresseur. Selon la jurisprudence, lorsque des indices significatifs au sujet d'une éventuelle souffrance psychique invalidante ressortent du dossier, une investigation psychiatrique est nécessaire afin de clarifier la situation et de définir précisément l'état de santé de l'assuré (cf. arrêt du Tribunal fédéral I 260/00 du 29 novembre 2000 consid. 3a). Rien de tel n'a été entrepris en l'espèce, si bien que la Cour ne peut pas se rallier sans autre à la position du Dr G._______, médecin généraliste, qui écarte l'obésité du diagnostic ayant un impact sur la capacité de travail faute d'avoir été chiffrée et ne fait aucune référence à l'état dépressif, ceci en n'ayant jamais examiné la patiente personnellement.</w:t>
      </w:r>
    </w:p>
    <w:p>
      <w:r>
        <w:rPr>
          <w:b/>
        </w:rPr>
        <w:t>E. 7.3</w:t>
      </w:r>
    </w:p>
    <w:p>
      <w:r>
        <w:t>Il sied de préciser qu'il ne s'agit d'aucune manière de reconnaître la décision espagnole dont elle se prévaut puisque seul le droit interne détermine les modalités de l'évaluation du taux d'invalidité (cf. consid. 3.3 et 3.4) qui est, selon la loi suisse, une notion juridico-économique et non médicale. En d'autres termes, seules sont couvertes les pertes économiques (atteignant au moins 40% du revenu) liées à une atteinte à la santé physique ou psychique et non la maladie en tant que telle. En Espagne, la situation est toute différente. Il existe en effet quatre degrés d'invalidité permanente: a) l'incapacité permanente partielle pour la profession habituelle b) l'incapacité permanente totale pour la profession habituelle c) l'incapacité permanente absolue pour tout travail d) la grande invalidité (cf. articulos 137 del texto de la Ley general de la Seguridad Social, aporbado por el Real decreto legislativo 1/1994, de 20 de junio, consulté sur le site Internet http://www.derecho.com/l/boe/real-decreto-legislativo-1-1994-aprueba-texto-refundido-ley-general-seguridad-social/ consulté le 6 janvier 2010. La rente octroyée en cas d'incapacité permanente totale pour la profession habituelle équivaut à 55% de la base de calcul (soit le salaire de référence) alors que celle allouée à titre d'incapacité permanente absolue se fonde sur 100% de la base de calcul (cf. le site du système d'information mutuelle sur la protection sociale des Etats membres de l'UE et de l'EEE http://ec.europa.eu/employment_social/missoc/2000/es_part5_fr.htm, consulté le 6 janvier 2010). Au demeurant, la décision suisse litigieuse et la décision espagnole ne sont pas contradictoires, les deux admettant une incapacité totale dans l'ancienne activité; toutefois en droit suisse, ce constat - ainsi qu'il vient de l'être expliqué - n'est pas suffisant pour ouvrir le droit à une rente. En effet, en application d'un principe général valable en assurances sociales suisses, l'assurée a l'obligation de diminuer son dommage et doit entreprendre de son propre chef tout ce qu'on peut raisonnablement attendre d'elle afin d'atténuer autant que possible les conséquences de son invalidité (ATF 130 V 97 consid. 3.2 avec les références). A ce titre, le Tribunal fédéral (des assurances) a jugé admissible d'exiger d'une personne travaillant de manière indépendante qu'elle abandonne son activité et qu'il était raisonnable lors de l'évaluation de l'invalidité de prendre en compte le salaire qu'elle pourrait ainsi obtenir dans une activité dépendante (cf. arrêt du Tribunal fédéral I 204/05 du 29 septembre 2005 consid 5.2.1). Dans le même ordre d'idée, elle peut également à certaines conditions être soumise à l'obligation de suivre un traitement médical (cf. l'art. 7 LAI dans sa version au 1er janvier 2008), notamment en ce qui concerne l'obésité.</w:t>
      </w:r>
    </w:p>
    <w:p>
      <w:r>
        <w:rPr>
          <w:b/>
        </w:rPr>
        <w:t>E. 8</w:t>
      </w:r>
    </w:p>
    <w:p>
      <w:r>
        <w:t>En conclusion, s'il subsiste une capacité résiduelle de travail dans une activité tenant compte de l'état de santé de la recourante, pour définir le taux d'occupation exigible dans cette activité, le médecin de l'OAIE doit prendre en considération toutes les éventuelles limitations et prescrire les examens nécessaires si la situation n'est pas claire comme en l'espèce. Ensuite seulement, l'autorité compétente procédera à la comparaison des revenus qui déterminera le taux exact d'invalidité. Il s'en suit que le recours doit être partiellement admis dans le sens que la décision du 28 avril 2008 est annulée et la cause est renvoyée à l'autorité intimée afin qu'elle procède aux compléments d'instruction nécessaire à la détermination exacte du taux d'activité exigible de la recourante. Dans ce cadre, elle clarifiera également la situation professionnelle de la recourante dont on ne sait si elle se consacrait totalement à son activité d'agricultrice puisque l'autorité lui a également fait compléter le formulaire pour les assurés travaillant dans le ménage et que le Dr G._______ applique dans sa prise de position la méthode mixte alors que la décision finale repose sur la méthode ordinaire d'évaluation du taux d'invalidité.</w:t>
      </w:r>
    </w:p>
    <w:p>
      <w:r>
        <w:rPr>
          <w:b/>
        </w:rPr>
        <w:t>E. 9.1</w:t>
      </w:r>
    </w:p>
    <w:p>
      <w:r>
        <w:t>Compte tenu de l'issu du litige, il n'est pas perçu de frais de procédure (art. 63 al. 1 et 2 PA). En conséquence, l'avance de frais de Fr. 400.-- déjà versée par la recourante lui sera restituée sur le compte bancaire qu'elle aura désigné, une fois le présent arrêt entrée en force.</w:t>
      </w:r>
    </w:p>
    <w:p>
      <w:r>
        <w:rPr>
          <w:b/>
        </w:rPr>
        <w:t>E. 9.2</w:t>
      </w:r>
    </w:p>
    <w:p>
      <w:r>
        <w:t>A teneur de l'art. 64 PA, l'autorité de recours peut allouer, d'office ou sur requête, à la partie ayant entièrement ou partiellement gain de cause une indemnité pour les frais indispensables et relativement élevés qui lui ont été occasionnés. En l'espèce, la recourante s'est défendue seule, sans faire appel à un mandataire, et il n'est pas démontré qu'elle a subi de ce fait des frais considérables. Partant, il ne lui est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