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C-3376/2008 vom 24. Januar 2011</w:t>
      </w:r>
    </w:p>
    <w:p>
      <w:r>
        <w:t>Bundesverwaltungsgericht, 2011-01-24, FR</w:t>
      </w:r>
    </w:p>
    <w:p>
      <w:r>
        <w:rPr>
          <w:b/>
        </w:rPr>
        <w:t xml:space="preserve">Quelle: </w:t>
      </w:r>
      <w:r>
        <w:t>https://mcp.opencaselaw.ch/entscheid/bvger_C-3376_2008</w:t>
      </w:r>
    </w:p>
    <w:p>
      <w:r>
        <w:t>FR: TAF C-3376/2008 du 24 janvier 2011</w:t>
      </w:r>
    </w:p>
    <w:p>
      <w:r>
        <w:t>IT: TAF C-3376/2008 del 24 gennaio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L'intéressé a déposé sa demande de rente le 17 octobre 2002.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17 octobre 2001, en fait in casu le 1er novembre 2001 compte tenu du délai d'attente d'une année selon l'art. 29 al. 1 let. b LAI en vigueur jusqu'au 31 décembre 2007 (actuellement art. 28 al. 1 LAI) pour percevoir une rente eu égard au cas d'assurance survenu le 1er novembre 2000, ou si le droit à une rente était né entre cette dernière date et le 16 avril 2008, date de la décision attaquée marquant la limite dans le temps du pouvoir d'examen de l'autorité de recours (ATF 129 V 1 consid. 2.1 et ATF 121 V 362 consid. 1b).</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20 ans et remplit donc la condition de la durée minimale de cotisations eu égard au moment de l'ouverture éventuelle du droit à la rente. Il reste à examiner s'il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1 LAI en vigueur jusqu'au 31 décembre 2007 et art. 28 al. 2 LAI en vigueur dès le 1er janvier 2008). Antérieurement au 1er janvier 2004 l'assuré pouvait prétendre un quart de rente dès une invalidité de 40%, une demi-rente dès une invalidité de 50% et une rente entière dès une invalidité de 66 2/3 %. (art. 28 al. 1 LAI en vigueur jusqu'au 31 décembre 2003).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4.3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w:t>
      </w:r>
    </w:p>
    <w:p>
      <w:r>
        <w:t>Le recourant, de formation supérieure technique et économique (diplôme de technicien agronome acquis en Italie et diplôme suisse de comptable), a travaillé en Suisse pendant de nombreuses années en dernier lieu comme comptable de rang mandataire commercial responsable des achats au sein d'une banque. Après divers échecs de reprise de son ancienne activité chez son employeur, il n'a plus travaillé à compter du 7 mai 2002.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6</w:t>
      </w:r>
    </w:p>
    <w:p>
      <w:r>
        <w:t>En l'espèce, il est établi que le recourant souffre d'une épaule droite gelée qui ne lui permettrait pas, à son avis, d'exercer quelque activité en raison de l'exacerbation des douleurs à l'utilisation du bras et de la main droite chez un droitier. Eu égard au fait qu'il ne s'agit pas là d'un état de santé stabilisé, la let. a de l'art. 29 al. 1 LAI en vigueur jusqu'au 31 décembre 2007 est inapplicable; seule peut entrer en considération la let. b de cette disposition légale prévoyant en principe une période d'attente d'une année à partir du début de l'incapacité de travail déterminante pour le début du droit à la rente.</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Le Tribunal fédéral a, pour sa part, admis la réciprocité de cette règle à l'égard de l'assurance-invalidité en jugeant que celle-ci n'était pas liée par l'évaluation de l'invalidité de l'assurance-accidents au sens de l'ATF 126 V 288,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sont donc indépendantes (cf. arrêt du Tribunal fédéral 8C_558/2008 du 17 mars 2009 consid. 2.3).</w:t>
      </w:r>
    </w:p>
    <w:p>
      <w:r>
        <w:rPr>
          <w:b/>
        </w:rPr>
        <w:t>E. 9.1</w:t>
      </w:r>
    </w:p>
    <w:p>
      <w:r>
        <w:t>En l'espèce l'intéressé présente suite à l'accident survenu le 1er novembre 2000, selon le rapport des experts de la PMU du 19 septembre 2006, une limitation importante de la mobilité de son membre supérieur droit chez un droitier en raison d'un status d'épaule gelée post-traumatisme, d'une capsulite rétractile séquellaire, des douleurs associées scapulo-humérales persistantes et un trouble de l'adaptation avec réaction mixte anxieuse et dépressive. Admettant que l'intéressé ne pouvait plus exercer des activités prolongées d'écritures et de travaux sur ordinateur impliquant l'usage du clavier et de la souris avec la main droite, ils lui ont reconnu une capacité de travail de 50% dans son ancien emploi ou dans une autre activité adaptée aux limitations fonctionnelles décrites. La contre-expertise produite par l'intéressé établie par les médecins des HUG en date du 1er février 2006 retient un diagnostic superposable mais les médecins en ont tiré des conclusions différentes retenant que l'intéressé ne pouvait plus exercer quelque activité au motif que ses douleurs l'empêchaient de travailler même dans une situation de type administratif sans travaux lourds et que sa réintégration professionnelle serait problématique eu égard au nombre d'années passées sans emploi. S'agissant du diagnostic, il n'y a pas de divergence d'appréciation. Seule est objet de contestation et de divergence d'appréciation la prise en compte de l'incidence des douleurs persistantes sur la capacité de travail de l'intéressé. Pour les médecins de la PMU les douleurs seraient surmontables et l'intéressé pourrait tirer parti de ses capacités intellectuelles dans une activité à 50% de type mandataire commercial sans activité de durée informatique ni d'écriture. Pour les médecins des HUG l'incapacité de travail de l'intéressé serait totale en raison des douleurs persistantes, de troubles du sommeil liés et de la médication suivie altérant sa capacité de concentration. Dans son arrêt du 17 mars 2009 le Tribunal fédéral a examiné les divergences de position exprimées et est parvenu à la conclusion (cf. le consid. 2.4 de cet arrêt) que l'avis des médecins des HUG ne permettait pas de mettre en doute les conclusions des experts de la PMU, qu'en l'occurrence les médecins des HUG n'avaient pas démontré les raisons pour lesquelles l'intéressé ne serait pas en mesure d'exercer à 50% son ancienne activité après adaptation de son poste de travail, que les médecins des HUG s'étaient contentés de mentionner le caractère particulièrement invalidant des troubles de la concentration et du sommeil dont souffrait l'assuré sans toutefois étayer leur appréciation par des constatations objectives précises et qu'ils avaient justifié l'incapacité de travail entière en invoquant la longue absence d'activité professionnelle. Fort de ces constatations, le Tribunal fédéral est parvenu à la conclusion qu'une capacité de travail de 50% comme l'avaient retenue les médecins de la PMU devait être confirmée. Le Tribunal de céans ne peut que partager l'analyse du Tribunal fédéral faute de preuve depuis lors apportées par de nouveaux rapports médicaux probants quant aux douleurs invoquées ou thérapies invalidantes suivies. Jusqu'à la date de la décision attaquée, l'intéressé était en mesure d'exercer à 50% son ancienne activité dans la comptabilité et ses tâches de responsable des achats en tant que mandataire commercial ou une activité adaptée tirant parti de sa formation supérieure.</w:t>
      </w:r>
    </w:p>
    <w:p>
      <w:r>
        <w:rPr>
          <w:b/>
        </w:rPr>
        <w:t>E. 9.2</w:t>
      </w:r>
    </w:p>
    <w:p>
      <w:r>
        <w:t>S'agissant de la période du 1er novembre 2001 au 1er février 2006, qui précède la date de l'expertise des HUG, il est judicieux d'apporter les précisions suivantes. Les médecins des HUG retiennent une capacité de travail résiduelle de 50% à partir de l'accident du 1er novembre 2000 sans mentionner ni d'aggravation ni d'amélioration depuis lors. Or, il est probable que pendant des courtes périodes l'assuré ait été complètement incapable de travailler, p. ex. immédiatement après les opérations chirurgicales. Ces périodes ne sont toutefois pas significatives. L'intéressé reprit son activité au sein de la banque le 7 février 2001, subit une intervention chirurgicale le 12 juin suivant suivie d'une incapacité de travail à 100% de trois mois puis reprit son activité à 50% mais l'abandonna à compter du 7 mai 2002. Dans son rapport du 17 juin 2002 le Dr C._______ nota d'importantes difficultés pour l'intéressé de recouvrer la mobilité de l'épaule droite et la persistance de douleurs modérées et continues jour et nuit augmentant à l'utilisation du bras mais valida une capacité de travail de 50% avec un risque de péjoration sans que ne puisse être émis un pronostic futur. Dans leur rapport du 23 septembre 2002 les médecins de la Clinique romande de réhabilitation relevèrent que le status somatique somme toute modéré ne justifiait pas l'importance des plaintes et relevèrent un défaut d'adhésion au processus de réadaptation. Dans un rapport du 6 août 2003 les médecins du Centre multidisciplinaire de la douleur confirmèrent le status relevé par les médecins de la Clinique romande de réhabilitation, à savoir un manque d'adhésion au processus de réadaptation, et notèrent le défaut de notion d'aggravation en mai 2002. Il n'y a pas au dossier d'autres documents médicaux topiques. Il appert de ce qui précède qu'il n'apparaît pas qu'une incapacité de travail de 100% supérieure à trois mois reposant sur des constatations objectives puisse être retenue. Il s'ensuit que du 1er novembre 2001 au 1er février 2006 une capacité de travail de 50% doit également être confirmée.</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10.3</w:t>
      </w:r>
    </w:p>
    <w:p>
      <w:r>
        <w:t>En l'espèce, dans la mesure où la capacité de travail de l'intéressé est encore de 50% dans son ancienne activité, le revenu qu'il pourrait obtenir en mettant à profit sa capacité résiduelle de travail correspond à une incapacité de gain de 50% (comparaison en pour-cent; ATF 114 V 310 consid. 3a; 104 V 135 consid. 2b). Dans cette approche de l'invalidité économique, il n'y a pas lieu de prendre en compte un abattement pour raisons personnelles du fait même que les experts de la PMU ont estimé que la capacité de travail de l'intéressé, tous aspects pris en compte, était de 50% dans son ancienne activité ou une activité adaptée assimilée. Le Tribunal fédéral a du reste confirmé cette appréciation dans l'arrêt 8C_558/2008 du 17 mars 2009 concernant le litige avec l'assureur-accidents.</w:t>
      </w:r>
    </w:p>
    <w:p>
      <w:r>
        <w:rPr>
          <w:b/>
        </w:rPr>
        <w:t>E. 10.4</w:t>
      </w:r>
    </w:p>
    <w:p>
      <w:r>
        <w:t>Vu ce qui précède le droit de l'intéressé à une demi-rente à compter du 1er novembre 2001 doit être confirmé et le recours, mal fondé, être rejeté.</w:t>
      </w:r>
    </w:p>
    <w:p>
      <w:r>
        <w:rPr>
          <w:b/>
        </w:rPr>
        <w:t>E. 10.5</w:t>
      </w:r>
    </w:p>
    <w:p>
      <w:r>
        <w:t>Le recourant a encore demandé à prouver que, après son accident, il n'a jamais réellement repris un travail à 50%. Or, cette demande d'apport de preuve n'est pas pertinente. En effet, la question à trancher n'est pas celle de savoir si l'intéressé a réellement travaillé à 50% après son accident mais si une activité de 50% était encore exigible. Cette dernière question peut être examinée à la lumière des expertises médicales versées au dossier, sans qu'il ne soit nécessaire de procéder à une audition de témoins (sur l'appréciation anticipée des preuves: ATF 124 V 94 consid. 4b et 122 V 162 consid. 1d avec les références).</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Les frais de procédure, fixés à CHF 300.-, sont mis à la charge du recourant (art. 63 al. 1 PA, applicable par le truchement de l'art. 37 LTAF). Ils sont compensés par l'avance de frais du même montant dont il s'est acquitté au cours de l'instruction.</w:t>
      </w:r>
    </w:p>
    <w:p>
      <w:r>
        <w:rPr>
          <w:b/>
        </w:rPr>
        <w:t>E. 12.2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