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C-3373/2008 vom 29. Oktober 2009</w:t>
      </w:r>
    </w:p>
    <w:p>
      <w:r>
        <w:t>Bundesverwaltungsgericht, 2009-10-29, IT</w:t>
      </w:r>
    </w:p>
    <w:p>
      <w:r>
        <w:rPr>
          <w:b/>
        </w:rPr>
        <w:t xml:space="preserve">Quelle: </w:t>
      </w:r>
      <w:r>
        <w:t>https://mcp.opencaselaw.ch/entscheid/bvger_C-3373_2008</w:t>
      </w:r>
    </w:p>
    <w:p>
      <w:r>
        <w:t>FR: TAF C-3373/2008 du 29 octobre 2009</w:t>
      </w:r>
    </w:p>
    <w:p>
      <w:r>
        <w:t>IT: TAF C-3373/2008 del 29 ottobre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25 ottobre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25 ottobre 2005 (ossia 12 mesi precedenti la presentazione della domanda), oppure se un diritto alla rendita sia sorto tra tale data ed il 10 aprile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di uno Stato membro dell'Unione europea (UE) o dell'Associazione europea di libero scambio (AELS; FF 2005 p. 4065; art. 45 del regolamento 1408/71), durante almeno un anno, rispettivamente, a partire dal 1° gennaio 2008, durante almeno tre anni di cui almeno uno in Svizzera (art. 36 LAI). Nella specie, il ricorrente ha versato contributi all'AVS/AI svizzera per un periodo superiore ai tre anni (doc. 5).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Nel caso in esame è stata sostanzialmente rilevata la diagnosi di epatopatia cronica di tipo cirrogeno (HbSAg+), esiti di remoto traumatismo al II dito della mano (cfr. perizia medica particolareggiata del 22 novembre 2006, doc. 34). Il Dott. C._______, autore della relazione medica esibita in sede di replica del 14 ottobre 2008, attesta principalmente una cirrosi epatica HBV correlata in trattamento con interferone (lamivudina) con associate multiple focalità epatiche (monitoraggio ogni tre mesi), emocromatosi secondaria, varici esofagee, stato depressivo reattivo grave. Il rapporto del Dott. C._______ è accompagnato da adeguata documentazione oggettiva. Secondo un rapporto di un centro di trapiantologia epatica di Pisa del 15 ottobre 2008, ci si troverebbe in presenza di un epatocarcinoma unifocale della cupola epatica.</w:t>
      </w:r>
    </w:p>
    <w:p>
      <w:r>
        <w:rPr>
          <w:b/>
        </w:rPr>
        <w:t>E. 8.2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9.1</w:t>
      </w:r>
    </w:p>
    <w:p>
      <w:r>
        <w:t>Nella fattispecie, l'interessato ha lavorato sostanzialmente senza interruzioni almeno fino al 31 ottobre 2006 (cfr. formulario E 205, doc. 3). Questa circostanza è stata confermata nella perizia medica dettagliata datata 22 novembre 2006 (punto 3.4.1). Nell'ambito dell'istruttoria della domanda è stato acquisito agli atti un questionario per il datore di lavoro, datato 12 novembre 2007, dal quale si evince che l'interessato ha ripreso un'attività lavorativa il 20 settembre 2007 in ragione di 40 ore settimanali e per un salario adeguato alla sua qualifica. L'interessato sarebbe tuttavia "attualmente" disoccupato secondo quanto riportato dal Dott. C._______ nel rapporto del 14 ottobre 2008. In sede ricorsuale, l'interessato non ha precisato quando ha cessato la sua attività lucrativa, benché l'UAIE, p. es. nella risposta del 29 settembre 2008, abbia indicato che la domanda di rendita AI è stata respinta perché l'interessato ancora lavorava.</w:t>
      </w:r>
    </w:p>
    <w:p>
      <w:r>
        <w:rPr>
          <w:b/>
        </w:rPr>
        <w:t>E. 9.2</w:t>
      </w:r>
    </w:p>
    <w:p>
      <w:r>
        <w:t>Al proposito, va ricordato che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10.1</w:t>
      </w:r>
    </w:p>
    <w:p>
      <w:r>
        <w:t>Nella fattispecie non sono concordi i pareri circa le ripercussioni invalidanti delle menzionate affezioni. In effetti, mentre il medico dell'INPS pone un tasso d'invalidità del 55%, il sanitario dell'UAIE, dal canto suo, prende atto nel rapporto del 23 gennaio 2008 che l'interessato lavora da settembre 2007 e che, pertanto, non esiste alcuna invalidità (cfr. consid. 9.2). In sede di replica, egli prende conoscenza dell'evoluzione della patologia, ma ribadisce che l'assicurato, nel frattempo disoccupato per ragioni di malattia, potrebbe ancora lavorare come muratore (doc. 40).</w:t>
      </w:r>
    </w:p>
    <w:p>
      <w:r>
        <w:rPr>
          <w:b/>
        </w:rPr>
        <w:t>E. 10.2</w:t>
      </w:r>
    </w:p>
    <w:p>
      <w:r>
        <w:t>Ora, lo scrivente Tribunale è del parere che almeno fino al 12 novembre 2007, nonostante le lamentate affezioni, A._______ ha dimostrato, con comportamento concludente, di aver posto ad utile profitto in occupazione confacente alle sue attitudini la sua superstite capacità lavorativa in misura ben superiore al 60% senza interruzione notevole. Dato che non ha subito una perdita di guadagno dovuta a malattia, almeno fino al novembre 2007, un diritto alla rendita deve essere negato. Certo non può essere escluso che l'interessato abbia avuto dei brevi periodi di malattia durante questo lasso di tempo. Né in sede ricorsuale né di replica ha tuttavia precisato i suoi periodi lavorativi né quando ha smesso di lavorare. Va comunque ricordato che un periodo lavorativo di 30 giorni è già sufficiente per interrompere la decorrenza del periodo d'incapacità lavorativa e quindi impedire la nascita del diritto alla rendita (art. 29ter dell'ordinanza del 17 gennaio 1961 sull'assicurazione per l'invalidità [OAI, RS 831.201] combinato con l'art. 29 cpv. 1 LAI, nel tenore vigente fino al 31 dicembre 2007). L'incapacità lavorativa, perlomeno fino a novembre 2007, non trova inoltre riscontro nell'incarto medico. I referti anteriori al 31 ottobre 2006, quando ancora l'interessato lavorava, non sono rilevanti ai fini dell'accertamento di un'invalidità. L'esame del 30 settembre 2006 (doc. 27) si riferisce a una biopsia ma non accerta alcuna incapacità lavorativa. La perizia E 213 attesta la presenza di un'epatopatia ma, nel contempo, riferisce che l'assicurato continua a lavorare.</w:t>
      </w:r>
    </w:p>
    <w:p>
      <w:r>
        <w:rPr>
          <w:b/>
        </w:rPr>
        <w:t>E. 10.3</w:t>
      </w:r>
    </w:p>
    <w:p>
      <w:r>
        <w:t>In sede di ricorso, l'interessato ha prodotto alcuni documenti che attesterebbero un aggravamento del suo stato di salute (vedi in particolare il ricovero del 30 gennaio 2008). Il Dott. C._______ ha confermato l'esistenza di una patologia ingravescente il 14 ottobre 2008, tuttavia negata dal medico dell'UAIE. Ora, va ricordato che il periodo di cognizione giudiziaria si limita alla data della decisione impugnata, quindi il 10 aprile 2008 (consid. 5). Anche ammettendo che un'incapacità lavorativa sia insorta il 30 gennaio 2008, o a una data posteriore al novembre 2007, quando l'assicurato ancora lavorava, un'eventuale diritto alla rendita nascerebbe in ogni caso dopo il periodo d'esame che lo scrivente Tribunale deve esaminare. Pertanto, il rifiuto di prestazioni opposto con il provvedimento in lite è da tutelare. Il ricorso in esame può essere risolto da un giudice unico in applicazione dell'art. 69 cpv. 2 LAI. Si giustifica tuttavia rinviare gli atti all'UAIE affinché consideri il ricorso quale nuova domanda di rendita ed esamini il diritto alla rendita dopo il 10 aprile 2008.</w:t>
      </w:r>
    </w:p>
    <w:p>
      <w:r>
        <w:rPr>
          <w:b/>
        </w:rPr>
        <w:t>E. 11.1</w:t>
      </w:r>
    </w:p>
    <w:p>
      <w:r>
        <w:t>Le spese processuali, ammontanti a Fr. 300.-, sono poste a carico del ricorrente e vengono parzialmente compensate con l'anticipo versato il 21 gennaio 2009. Il saldo di Fr. 12.- è messo a carico dell'insorgente.</w:t>
      </w:r>
    </w:p>
    <w:p>
      <w:r>
        <w:rPr>
          <w:b/>
        </w:rPr>
        <w:t>E. 11.2</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