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C-3368/2013 vom 23. Juni 2014</w:t>
      </w:r>
    </w:p>
    <w:p>
      <w:r>
        <w:t>Bundesverwaltungsgericht, 2014-06-23, DE</w:t>
      </w:r>
    </w:p>
    <w:p>
      <w:r>
        <w:rPr>
          <w:b/>
        </w:rPr>
        <w:t xml:space="preserve">Quelle: </w:t>
      </w:r>
      <w:r>
        <w:t>https://mcp.opencaselaw.ch/entscheid/bvger_C-3368_2013</w:t>
      </w:r>
    </w:p>
    <w:p>
      <w:r>
        <w:t>FR: TAF C-3368/2013 du 23 juin 2014</w:t>
      </w:r>
    </w:p>
    <w:p>
      <w:r>
        <w:t>IT: TAF C-3368/2013 del 23 giugno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Beschwerde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sowie BVGE 2012/21 E. 5.1 je mit Hinweisen).</w:t>
      </w:r>
    </w:p>
    <w:p>
      <w:r>
        <w:rPr>
          <w:b/>
        </w:rPr>
        <w:t>E. 3</w:t>
      </w:r>
    </w:p>
    <w:p>
      <w:r>
        <w:t>Mit Inkrafttreten des AuG am 1. Januar 2008 wurde das ANAG (BS 1 121) abgelöst (vgl. Art. 125 AuG i.V.m. Ziffer I des Anhangs 2 zum AuG). Das AuG beansprucht Geltung auf alle Verfahren, die nach seinem Inkrafttreten eingeleitet wurden, sei es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Häfelin et al., Allgemeines Verwaltungsrecht, 6. Aufl. 2010, Rz. 337 ff.).</w:t>
      </w:r>
    </w:p>
    <w:p>
      <w:r>
        <w:rPr>
          <w:b/>
        </w:rPr>
        <w:t>E. 4.1</w:t>
      </w:r>
    </w:p>
    <w:p>
      <w:r>
        <w:t>Das Einreiseverbot gestützt auf Art. 67 Abs. 2 AuG (in der seit dem 1. Januar 2011 gültigen Fassung, zum Ganzen vgl. BBl 2009 8881 und AS 2010 5925)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(Art. 67 Abs. 3 AuG). Aus humanitären oder anderen wichtigen Gründen kann die zuständige Behörde von der Verhängung eines Einreiseverbots absehen oder ein Einreiseverbot vollständig oder vorübergehend aufheben (Art. 67 Abs. 5 AuG).</w:t>
      </w:r>
    </w:p>
    <w:p>
      <w:r>
        <w:rPr>
          <w:b/>
        </w:rPr>
        <w:t>E. 4.2</w:t>
      </w:r>
    </w:p>
    <w:p>
      <w:r>
        <w:t>Das Einreiseverbot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insbesondere vor, wenn gesetzliche Vorschriften oder behördliche Verfügungen missachtet werden. Bestand ein solches Verhalten in der Vergangenheit, so wird die Gefahr entsprechender künftiger Störungen von Gesetzes wegen vermutet (BBl 2002 3760; ferner Urteil des BVGer C-2488/2012 vom 21. Februar 2014 E. 3.2 mit Hinweisen). Somit können die vorliegenden Rechtsgüterverletzungen als Teil der objektiven Rechtsordnung ein Einreiseverbot nach sich ziehen, allerdings nicht als Sanktion, sondern als Massnahme zum Schutz künftiger Störungen (vgl. BBl 2002 3813).</w:t>
      </w:r>
    </w:p>
    <w:p>
      <w:r>
        <w:rPr>
          <w:b/>
        </w:rPr>
        <w:t>E. 4.3</w:t>
      </w:r>
    </w:p>
    <w:p>
      <w:r>
        <w:t>Wird gegen eine Person, die nicht das Bürgerrecht eines EU-Mitgliedstaates besitzt, ein Einreiseverbot verhängt, so wird diese nach Massgabe der Bedeutung des Falles im Schengener Informationssystem (SIS) zur Einreiseverweigerung ausgeschrieben (vgl. Art. 21 u. Art. 24 SIS-II-VO [ABl. L 381 vom 28. Dezember 2006, S. 4 23], in Kraft seit 9. April 2013, vgl. Beschluss des Rates 2013/158/EU vom 7. März 2013 [Abl. L 87 vom 27. März 2013, S. 10-11] i.V.m. Art. 52 Abs. 1 SIS-II-VO). Damit wird dem Betroffenen grundsätzlich die Einreise in das Hoheitsgebiet aller Schengen-Mitglied­staaten verboten (vgl. Art. 5 Abs. 1 Bst. d sowie Art. 13 Abs. 1 Schengener Grenzkodex [SGK, Abl. L 105 vom 13. April 2006, S. 1-32]). Die Mitgliedstaaten können dem Betroffenen aus wichtigen Gründen oder aufgrund in­ternationaler Verpflichtungen die Einreise in ihr Hoheitsgebiet gestatten bzw. ihm ein Schengen-Visum mit räumlich beschränkter Gül­tigkeit ausstellen (vgl. Art. 13 Abs. 1 i.V.m. Art. 5 Abs. 4 Bst. c SGK; Art. 25 Abs. 1 Bst. a [ii] Visakodex, Abl. L 243 vom 15. September 2009).</w:t>
      </w:r>
    </w:p>
    <w:p>
      <w:r>
        <w:rPr>
          <w:b/>
        </w:rPr>
        <w:t>E. 5.1</w:t>
      </w:r>
    </w:p>
    <w:p>
      <w:r>
        <w:t>Am 15. Januar 2008 verurteilte das Kantonsgericht Freiburg den Beschwerdeführer letztinstanzlich wegen Drogendelikten zu einer Zuchthausstrafe von viereinhalb Jahren. Damit wurde die Grenze zur längerfristigen Freiheitsstrafe gemäss Art. 62 Bst. b AuG deutlich überschritten (vgl. BGE 139 I 145 E. 2.1 S. 147 sowie Urteil des Bundesgerichts 2C_778/2011 vom 24. Februar 2012 E. 3.1 mit Hinweisen). Aufgrund der abgeurteilten Delinquenz sind die Voraussetzungen für ein Einreiseverbot gemäss Art. 67 Abs. 2 Bst. a AuG gegeben.</w:t>
      </w:r>
    </w:p>
    <w:p>
      <w:r>
        <w:rPr>
          <w:b/>
        </w:rPr>
        <w:t>E. 5.2</w:t>
      </w:r>
    </w:p>
    <w:p>
      <w:r>
        <w:t>Das öffentliche Interesse an einer Fernhaltung des Beschwerdeführers ist nur schon aus präventivpolizeilicher Sicht als gewichtig einzustufen (zur Zulässigkeit der Berücksichtigung generalpräventiver Aspekte in Konstellationen, in denen wie hier kein sog. Vertragsausländer betroffen ist, vgl. Urteil des Bundesgerichts 2C_282/2012 vom 31. Juli 2012 E. 2.5 mit Hinweisen). Ausländische Drogenhändler, die durch Verbreitung harter Drogen die Gesundheit anderer gefährden oder beeinträchtigen, sind nach Möglichkeit von der Schweiz fernzuhalten. Damit soll der weiteren Ausbreitung des verbotenen Handels mit Betäubungsmitteln entgegengewirkt werden. Aufgrund der relativen Häufigkeit solcher Taten ist zum Schutz der Allgemeinheit durch eine kontinuierliche und strenge Verwaltungspraxis zu verdeutlichen, dass schwere Widerhandlungen gegen die Betäubungsmittelgesetzgebung im In- oder Ausland - selbst bei lediglich einer Verurteilung - mit mehr- bzw. langjährigen Fernhaltemassnahmen geahndet werden (vgl. Urteil des BVGer C-5038/2013 vom 12. Mai 2014 E. 6.2). Der Schutz der öffentlichen Sicherheit und Gesundheit ist dabei durch Abschreckung nicht nur des jeweiligen Straftäters, sondern auch anderer potenzieller Rechtsbrecher weitest möglich zu gewährleisten (zur strengen Praxis des Bundesgerichts in diesem Bereich siehe BGE 131 II 352 E. 4.3.1 S. 359 f. mit Hinweisen, Urteile des Bundesgerichts 2C_282/2012 vorerwähnt sowie 2C_768/2011 vom 4. Mai 2012 E. 4.3 und 2C_1029/2011 vom 10. April 2012 E. 3.3.1).</w:t>
      </w:r>
    </w:p>
    <w:p>
      <w:r>
        <w:rPr>
          <w:b/>
        </w:rPr>
        <w:t>E. 5.3</w:t>
      </w:r>
    </w:p>
    <w:p>
      <w:r>
        <w:t>Auch in subjektiver Hinsicht wiegt das massnahmeauslösende Fehlverhalten des Beschwerdeführers schwer, was auf Beschwerdeebene denn gar nicht in Abrede gestellt. Dem Beschwerdeführer wurde von den Strafbehörden vorgeworfen, insgesamt mehr als 4 Kilogramm Heroin besessen und weitergegeben zu haben. Das Kantonsgericht Freiburg erachtete das Verschulden des Beschwerdeführers in seinem Urteil vom 15. Januar 2008 als schwerwiegend. Einerseits sei die Drogenmenge erheblich und anderseits habe sich die deliktische Aktivität über eine Periode von mindestens zehn Monaten erstreckt. Das Verhalten des Beschwerdeführers, der eine nicht unerhebliche Rolle beim organisierten Drogenhandel gespielt habe, sei umso verwerflicher, als seinen Taten rein finanzielle Interessen zugrunde gelegen hätten, da er nicht selber drogenabhängig gewesen sei. Dementsprechend hoch fiel das Strafmass aus. Angesichts der konkreten Tatumstände - insbesondere wegen der grossen Mengen Heroin, welche transportiert wurden - und der zu kurzen Bewährungszeit (siehe E. 5.6 weiter hinten) erscheint daher klar, dass in der Person des Beschwerdeführers auch der Fernhaltegrund einer Gefährdung der öffentlichen Sicherheit und Ordnung gegeben ist (vgl. C 5038/2013 E. 6.3).</w:t>
      </w:r>
    </w:p>
    <w:p>
      <w:r>
        <w:rPr>
          <w:b/>
        </w:rPr>
        <w:t>E. 6.1</w:t>
      </w:r>
    </w:p>
    <w:p>
      <w:r>
        <w:t>Den Entscheid darüber, ob ein Einreiseverbot anzuordnen und wie es innerhalb des zulässigen zeitlichen Rahmens zu befristen ist, legen Art. 67 Abs. 2 und Abs. 3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a.a.O., Rz. 613 ff.).</w:t>
      </w:r>
    </w:p>
    <w:p>
      <w:r>
        <w:rPr>
          <w:b/>
        </w:rPr>
        <w:t>E. 6.2</w:t>
      </w:r>
    </w:p>
    <w:p>
      <w:r>
        <w:t>Die Vorinstanz hat das Einreiseverbot auf zehn Jahre befristet und stützt sich auf die Bestimmung von Art. 67 Abs. 3 zweiter Satz AuG, welche Fernhaltemassnahmen von mehr als fünf Jahren zulässt, wenn die betroffene Person eine schwerwiegende Gefahr für die öffentliche Sicherheit und Ordnung darstellt. Eine einfache Störung oder Gefährdung der öffentlichen Sicherheit und Ordnung genügen nicht. Verlangt wird eine qualifizierte Gefahrenlage, worüber nach Massgabe aller Umstände des Einzelfalls zu befinden ist. Eine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ergeben, dass keine günstige Prognose gestellt werden kann. Die zu befürchtenden Delikte müssen einzeln oder in ihrer Summe das Potenzial haben, um eine aktuelle, schwerwiegende Gefährdung zu begründen (vgl. BGE 139 II 121 E. 5 und 6 S. 125 ff.; BVGE 2013/4 E. 7.2.4; Urteil des BVGer C-2128/2012 vom 6. Februar 2014 E. 6.5).</w:t>
      </w:r>
    </w:p>
    <w:p>
      <w:r>
        <w:rPr>
          <w:b/>
        </w:rPr>
        <w:t>E. 6.3</w:t>
      </w:r>
    </w:p>
    <w:p>
      <w:r>
        <w:t>Dass die vom Freiburger Kantonsgericht abgeurteilten Taten eine schwerwiegende Störung der öffentlichen Sicherheit und Ordnung darstellen, bedarf im Lichte der bundesgerichtlichen Rechtsprechung (siehe BGE 139 II 121 E. 6.3 in fine S. 131) keiner näheren Erläuterungen. Hingegen stellt sich die Frage, ob die Wahrscheinlichkeit einer erneuten Begehung ähnlich gelagerter Delikte hinreichend gross ist, um auch von einer schwerwiegenden Gefahr im Sinne von Art. 67 Abs. 3 zweiter Satz AuG ausgehen zu können. Sie muss höher sein als die, welche der Annahme einer rechtlich relevanten Gefahr im Sinne von Art. 67 Abs. 2 Bst. a AuG zu Grunde liegt (vgl. C-2128/2012 E. 6.7). Der Rechtsvertreter gibt in diesem Zusammenhang zu bedenken, dass die strafbaren Handlungen des Beschwerdeführers vor rund zehn Jahren begangen worden seien, dieser sich seit seiner bedingten Entlassung aus dem Strafvollzug am 7. Juni 2008 klaglos verhalten und somit über eine lange Zeit bewiesen habe, dass er sich an die schweizerische Rechtsordnung halte. Wie an anderer Stelle dargetan (siehe E. 5.1 und 5.2 vorstehend), kann angesichts des betroffenen Rechtsgutes und der Grössenordnung der gehandelten Drogen selbst ein geringes Restrisiko des Rückfalles nicht hingenommen werden (vgl. Urteil des Bundesgerichts 2C_474/2011 vom 22. Dezember 2011 E. 3.1 mit Hinweisen). Die Vorinstanz hat nicht übersehen, dass der Beschwerdeführer seit Mitte 2004 nicht mehr straffällig geworden ist. Der Parteivertreter verkennt aber, dass für die Berechnung der Dauer des klaglosen Verhaltens nicht in erster Linie auf den Begehungs- oder Urteilszeitpunkt abzustellen ist, sondern es vielmehr zu überprüfen gilt, wie lange sich eine straffällig gewordene Person nach ihrer Entlassung aus der Haft in Freiheit bewährt hat (vgl. BVGE 2008/24 E. 6.2). Nach Verbüssung von drei Jahren Zuchthaus wurde der Beschwerdeführer am 7. Juni 2008 bedingt aus dem Strafvollzug entlassen, bei einer offenen Reststrafe von rund 548 Tagen. Sein seitheriges Wohlverhalten ist jedoch - entgegen der Ansicht des Parteivertreters - wegen des auf ihm lastenden Druckes der Probezeit nur beschränkt aussagekräftig, zumal er seit Mai 2009 zusätzlich unter dem Eindruck eines drohenden Verlusts seiner Niederlassungsbewilligung und einer Wegweisung aus der Schweiz stand. Gemessen an den verletzten Rechtsgütern und der Schwere der Straftaten erweist sich demnach die seit der Haftentlassung abgelaufene Bewährungsfrist als zu kurz, als dass bereits eine grundlegende, gefestigte Wandlung - und damit einhergehend - eine klare Distanzierung von der eigenen kriminellen Vergangenheit angenommen werden könnte (vgl. BGE 130 II 493 E. 5.4 S. 504). Es besteht weiterhin ein erhebliches Risiko, dass der Beschwerdeführer in frühere Verhaltensmuster verfällt, vermochte ihn doch selbst sein familiäres Umfeld seinerzeit nicht vom Delinquieren abzuhalten. Nicht nur das Tatbestandsmerkmal der schwerwiegenden Störung, sondern auch dasjenige der schwerwiegenden Gefahr für die öffentliche Sicherheit und Ordnung gemäss Art. 67 Abs. 3 Satz 2 AuG ist folglich erfüllt.</w:t>
      </w:r>
    </w:p>
    <w:p>
      <w:r>
        <w:rPr>
          <w:b/>
        </w:rPr>
        <w:t>E. 6.4</w:t>
      </w:r>
    </w:p>
    <w:p>
      <w:r>
        <w:t>Nach dem Gesagten ist wegen der Schwere der Drogendelinquenz, der beschränkten Bedeutung des Zeitablaufs sowie des Fehlens einer günstigen Prognose eine schwerwiegende Gefahr im Sinne von Art. 67 Abs. 3 zweiter Satz AuG zu bejahen (zum Ganzen siehe auch BGE 139 II 121 E. 6.2 und 6.3 S. 129 ff. oder BVGE 2013/4 E. 7.2). Dies rechtfertigt grundsätzlich eine Überschreitung der fünfjährigen Regelhöchstdauer des Einreiseverbots gemäss Art. 67 Abs. 3 AuG. Es stellt sich demzufolge nur die Frage, ob die im vorliegenden Fall angeordnete Dauer von zehn Jahren im verbleibenden Rahmen verhältnismässig und angemessen ist.</w:t>
      </w:r>
    </w:p>
    <w:p>
      <w:r>
        <w:rPr>
          <w:b/>
        </w:rPr>
        <w:t>E. 7.1</w:t>
      </w:r>
    </w:p>
    <w:p>
      <w:r>
        <w:t>Vom Beschwerdeführer geht, wie dargetan, nach wie vor eine schwerwiegende Gefahr für die öffentliche Sicherheit und Ordnung aus, weshalb klarerweise ein grosses öffentliches Fernhalteinteresse besteht. Das Einreiseverbot soll weiteren Straftaten des Beschwerdeführers in der Schweiz entgegenwirken. Das Hauptaugenmerk der Massnahme liegt in der spezialpräventiven Zielsetzung, wonach sie den Beschwerdeführer dazu anhalten soll, bei einer allfälligen künftigen Wiedereinreise in die Schweiz resp. in den Schengen-Raum nach Ablauf der Dauer des Einreiseverbots keine weiteren Verstösse gegen die öffentliche Ordnung und Sicherheit zu begehen (vgl. Urteil des BVGer C 4898/2012 vom 1. Mai 2014 E. 6.2 mit Hinweis). Als gewichtig zu betrachten ist auch das generalpräventiv motivierte Interesse, die öffentliche Sicherheit und Ordnung durch eine konsequente Massnahmenpraxis zu schützen (vgl. Urteil des BGer 2C_948/2011 vom 11. Juli 2012 E. 3.4.2).</w:t>
      </w:r>
    </w:p>
    <w:p>
      <w:r>
        <w:rPr>
          <w:b/>
        </w:rPr>
        <w:t>E. 7.2</w:t>
      </w:r>
    </w:p>
    <w:p>
      <w:r>
        <w:t>Den öffentlichen Interessen sind die privaten Interessen des Beschwerdeführers und seiner Familie gegenüberzustellen. Der Beschwerdeführer bringt vor, er lebe seit 24 Jahren in der Schweiz, wo er sein gesamtes Beziehungsnetz habe. Nicht nur seine Familie (Ehefrau und drei minderjährige Kinder), sondern auch seine Eltern und Schwiegereltern lebten in der Schweiz. Ausserdem habe er mit seiner Ehefrau eine eigene Reinigungsfirma aufgebaut und sich somit eine tragfähige wirtschaftliche Grundlage erarbeitet. Da seine Ehefrau und die Kinder zweifellos über ein gefestigtes Anwesenheitsrecht in der Schweiz verfügten, sei eine Berufung auf Art. 8 EMRK - entgegen der Ansicht der Vorinstanz - ohne weiteres möglich.</w:t>
      </w:r>
    </w:p>
    <w:p>
      <w:r>
        <w:rPr>
          <w:b/>
        </w:rPr>
        <w:t>E. 7.2.1</w:t>
      </w:r>
    </w:p>
    <w:p>
      <w:r>
        <w:t>Einleitend gilt es festzuhalten, dass die Auffassung der Vorinstanz, wonach eine Berufung auf Art. 8 EMRK in casu nicht möglich sei, nicht zutreffend ist, hat doch das Bundesgericht bereits anlässlich des Verfahrens betreffend Widerruf der Niederlassungsbewilligung des Beschwerdeführers bzw. Nichtverlängerung der Aufenthaltsbewilligung von B._______ explizit festgehalten, der Beschwerdeführer habe aufgrund der gelebten Beziehung zu seiner Ehefrau und seinen (in der Schweiz niedergelassenen) Kindern gestützt auf Art. 8 Ziff. 1 EMRK grundsätzlich einen Anspruch auf Aufenthalt in der Schweiz (vgl. das bereits erwähnte Urteil 2C_673/2011 vom 3. August 2012 E. 3.5). Zudem verfügt die Ehefrau mittlerweile selber über eine Niederlassungsbewilligung in der Schweiz.</w:t>
      </w:r>
    </w:p>
    <w:p>
      <w:r>
        <w:rPr>
          <w:b/>
        </w:rPr>
        <w:t>E. 7.2.2</w:t>
      </w:r>
    </w:p>
    <w:p>
      <w:r>
        <w:t>Hervorzuheben ist im Weitern, dass Einschränkungen des Privat- bzw. Familienlebens vorliegend auf­grund sachlicher und funktioneller Unzuständigkeit des Bundesverwal­tungsgerichts nicht Verfahrensgegen-stand sein können, soweit sie auf das Fehlen eines dauerhaften Aufenthaltsrechts in der Schweiz zurückzu­führen sind. Der Beschwerdeführer musste die Schweiz nach dem Widerruf seiner Niederlassungsbewilligung Ende Mai 2013 verlassen (vgl. Sachverhalt Bst. C) und verzichtete - jedenfalls soweit ersichtlich - bis anhin darauf, ein neuerliches Aufenthaltsverfahren anzustrengen. Die Wohnsitznahme in der Schweiz wie auch die Pflege regelmässiger persönlicher Kontakte zur hier lebenden Familie scheitern mithin bereits an der nicht mehr vorhandenen Aufenthaltsberechtigung des Beschwerdeführers. Eine allfällige neue Bewilligung im Rahmen des Familiennachzugs ist nicht Gegenstand dieses Verfahrens. Hierfür ist der Kanton zuständig (vgl. dazu BVGE 2013/4 E. 7.4.1).</w:t>
      </w:r>
    </w:p>
    <w:p>
      <w:r>
        <w:rPr>
          <w:b/>
        </w:rPr>
        <w:t>E. 7.2.3</w:t>
      </w:r>
    </w:p>
    <w:p>
      <w:r>
        <w:t>Nach dem Gesagten stellt sich im Folgenden nunmehr einzig die Frage, ob die über die Verweigerung des Aufenthaltsrechts hinausgehen­de, durch das Einreiseverbot zusätzlich bewirkte Erschwernis vor Art. 8 Ziff. 1 EMRK und Art. 13 Abs. 1 BV standhält. Bei dieser Prüfung ist zu berücksichtigen, dass dem Beschwerdeführer durch das Einreiseverbot Besuchsaufenthalte bei seinen Familienangehörigen in der Schweiz nicht schlechthin untersagt werden. Es steht ihm offen, aus wichtigen Gründen die zeitweilige Sus­pension der angeordneten Fernhaltemassnahme zu beantragen (Art. 67 Abs. 5 AuG). Diese Suspension wird freilich praxisgemäss jeweils nur für eine kurze und klar begrenzte Zeit gewährt. Die Vorinstanz hat dem Beschwerdeführer im März 2014 ein erstes Suspensionsgesuch zwecks Anwesenheit bei seinen Angehörigen bewilligt, und sowohl deshalb wie auch aufgrund ihrer Ausführungen im Rahmen des Schriftenwechsels kann davon ausgegangen werden, dass - weiteres Wohlverhalten des Beschwerdeführers vorausgesetzt - der Kontakt zwischen ihm und seiner Familie während der Dauer des Einreise­verbots bis zu einem gewissen Grad mit kontrollierten befristeten Be­suchsaufent-halten in der Schweiz aufrechterhalten werden kann. Zudem kann die aus demselben Kulturkreis stammende Familie den Beschwerdeführer im Kosovo besuchen und den Kontakt auch mittels Telefon und moderner Kommunikationsmittel aufrechterhalten. Allerdings darf ein Einreiseverbot nicht mittels Sus­pensionen ausgehöhlt werden. Selbst wenn die Vorinstanz dem Wunsch nach Kontaktpflege relativ grosszügig nach­kommt, kann mithin ein Familienleben lediglich in erheblich eingeschränktem Rahmen stattfinden (vgl. BVGE 2013/4 E. 7.4.3 mit Hinweisen). Die mit dem Einreiseverbot einhergehenden Einschränkungen hat der Beschwerdeführer jedoch hinzunehmen, zumal sie zur Verhütung von Straftaten und zum Schutz der öffentlichen Sicherheit erforderlich sind (vgl. Art. 8 Abs. 2 EMRK).</w:t>
      </w:r>
    </w:p>
    <w:p>
      <w:r>
        <w:rPr>
          <w:b/>
        </w:rPr>
        <w:t>E. 7.3</w:t>
      </w:r>
    </w:p>
    <w:p>
      <w:r>
        <w:t>Dass die Ehefrau sowie die drei noch minderjährigen Kinder des Beschwerdeführers in der Schweiz leben und die familiären Beziehungen offenbar intakt sind, stellt die Angemessenheit des zehnjährigen Einreiseverbots hingegen in Frage. Insbesondere ist gemäss Art. 3 Abs. 1 des Übereinkommens vom 20. November 1989 über die Rechte des Kindes (SR 0.107) das Wohl des Kindes vorrangig zu berücksichtigen; dies bedeutet auch, dass das Kind ein Recht auf Kontakt zu seinen Eltern hat und für deren Fehlverhalten nicht die Konsequenzen tragen soll (vgl. BVGE 2013/4 E. 7.4.4 mit Hinweisen). Ebenfalls ist das nunmehr zehnjährige Wohlverhalten des Beschwerdeführers im dargelegten Rahmen entsprechend mitzuberücksichtigen.</w:t>
      </w:r>
    </w:p>
    <w:p>
      <w:r>
        <w:rPr>
          <w:b/>
        </w:rPr>
        <w:t>E. 7.4</w:t>
      </w:r>
    </w:p>
    <w:p>
      <w:r>
        <w:t>Im Sinne einer ausgewogenen Würdigung des öffentlichen Interesses am Schutz der Allgemeinheit vor möglichen weiteren Straftaten einerseits und des privaten Interesses des Beschwerdeführers und seiner Familie andererseits, ist der von der Fernhaltemassnahme besonders betroffenen Familie eine zeitliche Perspektive zu gewähren. Besagte Perspektive setzt allerdings zwingend ein Wohlverhalten voraus, welches der Beschwerdeführer sowohl in seinem Heimatland als auch bei weiteren Besuchen in der Schweiz unter Beweis zu stellen hat.</w:t>
      </w:r>
    </w:p>
    <w:p>
      <w:r>
        <w:rPr>
          <w:b/>
        </w:rPr>
        <w:t>E. 7.5</w:t>
      </w:r>
    </w:p>
    <w:p>
      <w:r>
        <w:t>Eine wertende Gewichtung der sich entgegenstehenden Interessen führt das Bundesverwaltungsgericht zum Schluss, dass das Einreiseverbot dem Grundsatze nach zu bestätigen ist, mit der angeordneten Dauer von zehn Jahren jedoch unangemessen lang erscheint. In Würdigung der gesamten Umstände ist davon auszugehen, dass dem öffentlichen Interesse an der Fernhaltung des Beschwerdeführers mit einem auf acht Jahre befristeten Einreiseverbot hinreichend Rechnung getragen wird.</w:t>
      </w:r>
    </w:p>
    <w:p>
      <w:r>
        <w:rPr>
          <w:b/>
        </w:rPr>
        <w:t>E. 8</w:t>
      </w:r>
    </w:p>
    <w:p>
      <w:r>
        <w:t>Die Vorinstanz hat in der angefochtenen Verfügung ferner die Ausschreibung des Einreiseverbots im SIS angeordnet. Der Beschwerdeführer ist kosovarischer Staatsangehöriger und damit Drittstaatsangehöriger im Sinne von Art. 3 Bst. d SIS-II-VO. Aufgrund der Ausschreibung im SIS ist es ihm untersagt, den Schengen-Raum zu betreten. Der darin liegende Eingriff wird durch die Bedeutung des Falles gerechtfertigt (vgl. Art. 21 i.V.m. Art. 24 Abs. 2 SIS-II-VO).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(nunmehr beschränkt auf acht Jahre) sind demnach erfüllt.</w:t>
      </w:r>
    </w:p>
    <w:p>
      <w:r>
        <w:rPr>
          <w:b/>
        </w:rPr>
        <w:t>E. 9</w:t>
      </w:r>
    </w:p>
    <w:p>
      <w:r>
        <w:t>Aus diesen Erwägungen folgt, dass das auf zehn Jahre bemessene Einreiseverbot Bundesrecht verletzt (vgl. Art. 49 VwVG). Die Beschwerde ist daher teilweise gutzuheissen und das gegen den Beschwerdeführer verhängte Einreiseverbot auf acht Jahre, bis zum 31. Mai 2021, zu befristen.</w:t>
      </w:r>
    </w:p>
    <w:p>
      <w:r>
        <w:rPr>
          <w:b/>
        </w:rPr>
        <w:t>E. 10</w:t>
      </w:r>
    </w:p>
    <w:p>
      <w:r>
        <w:t>Entsprechend dem Ausgang des Verfahrens sind dem Beschwerdeführer die ermässigten Verfahrenskosten aufzuerlegen und daran den geleisteten Kostenvorschuss anzurechnen (vgl. Art. 63 Abs. 1 VwVG i.V.m. Art. 1, Art. 2 und Art. 3 Bst. b des Reglements vom 21. Februar 2008 über die Kosten und Entschädigungen vor dem Bundesverwaltungsgericht [VGKE, SR 173.320.2]). Im Umfang seines Obsiegens ist dem Beschwerdeführer eine gekürzte Parteientschädigung in gerichtlich festzusetzender Höhe zuzusprechen (Art. 64 Abs. 1 VwVG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