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C-3367/2010 vom 4. April 2011</w:t>
      </w:r>
    </w:p>
    <w:p>
      <w:r>
        <w:t>Bundesverwaltungsgericht, 2011-04-04, DE</w:t>
      </w:r>
    </w:p>
    <w:p>
      <w:r>
        <w:rPr>
          <w:b/>
        </w:rPr>
        <w:t xml:space="preserve">Quelle: </w:t>
      </w:r>
      <w:r>
        <w:t>https://mcp.opencaselaw.ch/entscheid/bvger_C-3367_2010</w:t>
      </w:r>
    </w:p>
    <w:p>
      <w:r>
        <w:t>FR: TAF C-3367/2010 du 4 avril 2011</w:t>
      </w:r>
    </w:p>
    <w:p>
      <w:r>
        <w:t>IT: TAF C-3367/2010 del 4 aprile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Beschwerdeführenden sind als Verfügungsadressaten durch die an­gefochtene Verfügung besonders berührt und haben ein schutzwür­diges In­teresse an deren Aufhebung. Auf die frist- und formgerecht ein­gereichte Beschwerde ist daher einzutreten (Art. 48 ff. VwVG).</w:t>
      </w:r>
    </w:p>
    <w:p>
      <w:r>
        <w:rPr>
          <w:b/>
        </w:rPr>
        <w:t>E. 2</w:t>
      </w:r>
    </w:p>
    <w:p>
      <w:r>
        <w:t>Auf das vorliegende Verfahren ist die Verordnung vom 20. Januar 2010 über die Ausstellung von Reisedokumenten für ausländische Personen (RDV, SR 143.5) - welche am 1. März 2010 in Kraft getreten ist und die bisherige Verordnung vom 27. Oktober 2004 über die Ausstellung von Reisedokumenten für ausländische Personen ersetzt (vgl. AS 2004 4577) - anzuwenden.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ausgestellt. Zwingend ist für vorläufig aufgenommene Personen und Schutzbedürftige jedoch der Nachweis der Schriftenlosigkeit, wenn zusätzlich ein Identitätsausweis ausgestellt werden soll.</w:t>
      </w:r>
    </w:p>
    <w:p>
      <w:r>
        <w:rPr>
          <w:b/>
        </w:rPr>
        <w:t>E. 4.2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5</w:t>
      </w:r>
    </w:p>
    <w:p>
      <w:r>
        <w:t>Vorliegend ist demnach vorab zu prüfen, ob die Vorinstanz hinsicht­lich der Beschwerdeführenden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dabei nicht nach subjektiven, sondern nach objek­tiven Massstäben zu beurteilen (vgl. das Urteil des Bundesgerichts 2A.335/2006 vom 18. Oktober 2006 E. 2.1 mit Hinweis).</w:t>
      </w:r>
    </w:p>
    <w:p>
      <w:r>
        <w:rPr>
          <w:b/>
        </w:rPr>
        <w:t>E. 5.1.1</w:t>
      </w:r>
    </w:p>
    <w:p>
      <w:r>
        <w:t>Die Beschwerdeführenden erachten jeglichen Kontakt mit dem syrischen Konsulat als nicht zumutbar. Eine Kontaktaufnahme würde mit grosser Wahrscheinlichkeit eine direkte Gefahr für die Beschwerdeführenden und deren in Syrien verbliebenen Familienmitglieder darstellen. Die syrischen Geheimdienste würden jegliche kurdische Aktivisten überwachen und kontrollieren. Würden die Beschwerdeführenden beim syrischen Konsulat einen Antrag auf Ausstellung von Reisepapieren stellen, erhielten die syrischen Behörden Kenntnis über das Asylgesuch, die vorläufige Aufnahme und den Grund dafür. Mit Sicherheit würden diese Informationen nach Syrien weitergeleitet, was bei einer allfälligen Rückkehr der Beschwerdeführenden nach Syrien eine konkrete Bedrohung bedeute; im schlimmsten Fall könne dies sogar zu einer erneuten Inhaftierung und unverhältnismässigen Strafen führen.</w:t>
      </w:r>
    </w:p>
    <w:p>
      <w:r>
        <w:rPr>
          <w:b/>
        </w:rPr>
        <w:t>E. 5.1.2</w:t>
      </w:r>
    </w:p>
    <w:p>
      <w:r>
        <w:t>Vorliegend verkennen die Beschwerdeführenden jedoch, dass bereits im Asylverfahren die Schwierigkeiten der Beschwerdeführenden mit den syrischen Sicherheitsbehörden nach dem 22. März 2004 als nicht glaubhaft eingestuft wurden. Ihren Vorbringen bezüglich der Jahre 2001 und 2002 wurde hingegen keine Bedeutung beigemessen. Die Ausführungen der Beschwerdeführenden wurden somit bereits geprüft und rechtskräftig als nicht glaubhaft respektive als nicht asylrelevant zurückgewiesen (vgl. Urteil des Bundesverwaltungsgerichts vom 27. April 2009, E. 4). Zwar wird - wie beschwerdeweise eingewendet wird - im Zusammenhang mit der Zumutbarkeit des Wegweisungsvollzuges ebenfalls festgestellt, bei einer zwangsweisen Rückkehr der Beschwerdeführenden in ihre Heimat könnte sich mit beträchtlicher Wahrscheinlichkeit eine konkrete Gefährdungssituation ergeben (vgl. Urteil des Bundesverwaltungsgericht vom 27. April 2009, E. 8.2). Dieser Einwand kann jedoch nicht gehört werden, können doch die für die Ausstellung der heimatlichen Reisepapiere notwendigen Schritte von der Schweiz aus vorgenommen werden. Weitere Abklärungen bezüglich der konkreten Gefährdung der Beschwerdeführenden in ihrem Heimatland erübrigen sich deshalb und können überdies auch nicht im Rahmen des vorliegenden Verfahrens geprüft werden.</w:t>
      </w:r>
    </w:p>
    <w:p>
      <w:r>
        <w:rPr>
          <w:b/>
        </w:rPr>
        <w:t>E. 5.1.3</w:t>
      </w:r>
    </w:p>
    <w:p>
      <w:r>
        <w:t>Die geltend gemachte Gefährdung bezieht sich denn auch vielmehr auf den speziellen Status der gesuchstellenden Person in der Schweiz, welcher einer Kontaktaufnahme mit den Behörden des Heimatlandes entgegen stehen könnte (vgl. Urteil des Bundesverwaltungsgerichts C-3044/2007 vom 23. Januar 2009, E. 3.2). Entsprechend weist Art. 6 Abs. 3 RDV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gemäss den diesbezüglichen Weisungen sowie der langjähriger Praxis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online zu finden unter: www.bfm.admin.ch, Dokumentation &gt; Rechtli­che Grundlagen &gt; Weisungen und Kreisschreiben &gt; Ar­chiv Weisungen und Kreisschreiben [ausser Kraft] &gt; Weisungen und Erläuterungen: Einreise, Aufenthalt und Arbeitsmarkt &gt; Weisungen). Daraus ist zu schliessen, dass von Personen, die - wie die Be­schwerdeführenden - wegen Unzumutbarkeit des Wegweisungsvollzugs nach Art. 83 Abs. 1 i.V.m. Abs. 4 AuG vorläufig auf­genommen wurden, eine solche Kontaktaufnahme im Hinblick auf die Beschaffung von Reisedo­kumenten verlangt werden kann. Es kann deshalb grundsätzlich erwartet werden, dass sich die Beschwerdeführenden vorerst bei der zuständigen syrischen Vertretung in der Schweiz um die Abgabe gültiger Reisepapiere bemühen. Die Beschwerdeführenden machen zwar geltend, eine Kontaktaufnahme mit den heimatlichen Behörden gefährde die in Syrien gebliebenen Familienangehörigen. Dieser Argumentation kann jedoch nicht gefolgt werden. Zum einen werden ihre Verfolgungsgründe im Asylverfahren als unglaubhaft eingestuft zum anderen lassen sie es bei blossen Behauptungen bewenden, ohne die geringsten Ausführungen dazu vorzunehmen.</w:t>
      </w:r>
    </w:p>
    <w:p>
      <w:r>
        <w:rPr>
          <w:b/>
        </w:rPr>
        <w:t>E. 5.2</w:t>
      </w:r>
    </w:p>
    <w:p>
      <w:r>
        <w:t>Nach dem bisher Gesagten fehlt es an objektiven Gründen für die Annahme der Unzumutbarkeit nach Art. 6 Abs. 1 Bst. a RDV. Im Weiteren kann auch nicht davon ausgegangen werden - und wird im Übrigen von den Beschwerdeführenden zu Recht nicht geltend gemacht - dass die Beschaffung eines Reisedokumentes für die Beschwerdeführenden unmöglich im Sinne von Art. 6 Abs. 1 Bst. b ist.</w:t>
      </w:r>
    </w:p>
    <w:p>
      <w:r>
        <w:rPr>
          <w:b/>
        </w:rPr>
        <w:t>E. 6</w:t>
      </w:r>
    </w:p>
    <w:p>
      <w:r>
        <w:t>Den Beschwerdeführenden ist somit die Beschaffung eines gültigen heimatlichen Reisedokuments sowohl zumutbar als auch objektiv möglich. Sie sind folglich nicht als schriftenlos im Sinne von Art. 6 Abs. 1 RDV zu betrachten.</w:t>
      </w:r>
    </w:p>
    <w:p>
      <w:r>
        <w:rPr>
          <w:b/>
        </w:rPr>
        <w:t>E. 7</w:t>
      </w:r>
    </w:p>
    <w:p>
      <w:r>
        <w:t>Aus diesen Darlegungen folgt, dass die Vorinstanz zu Recht die Schriftenlo­sigkeit der Beschwerdeführenden verneint und die Ausstellung der Identitätsausweise mit Bewilligung zur Wiedereinreise ver­weigert hat. Die angefoch­tene Verfügung erweist sich somit im Lichte von Art. 49 VwVG als rechtmässig und die Be­schwerde ist dement­sprechend abzuweisen.</w:t>
      </w:r>
    </w:p>
    <w:p>
      <w:r>
        <w:rPr>
          <w:b/>
        </w:rPr>
        <w:t>E. 8</w:t>
      </w:r>
    </w:p>
    <w:p>
      <w:r>
        <w:t>In Anwendung von 63 Abs. 1 in fine VwVG in Verbindung mit Art. 6 Bst. b des Reglements vom 21. Februar 2008 über die Kosten und Entschädigungen vor dem Bundesverwaltungsgericht (VGKE, SR 173.320.2) ist auf die Auferlegung von Verfahrenskosten zu verzichten.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