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C-3365/2015 vom 26. August 2015</w:t>
      </w:r>
    </w:p>
    <w:p>
      <w:r>
        <w:t>Bundesverwaltungsgericht, 2015-08-26, FR</w:t>
      </w:r>
    </w:p>
    <w:p>
      <w:r>
        <w:rPr>
          <w:b/>
        </w:rPr>
        <w:t xml:space="preserve">Quelle: </w:t>
      </w:r>
      <w:r>
        <w:t>https://mcp.opencaselaw.ch/entscheid/bvger_C-3365_2015</w:t>
      </w:r>
    </w:p>
    <w:p>
      <w:r>
        <w:t>FR: TAF C-3365/2015 du 26 août 2015</w:t>
      </w:r>
    </w:p>
    <w:p>
      <w:r>
        <w:t>IT: TAF C-3365/2015 del 26 agosto 2015</w:t>
      </w:r>
    </w:p>
    <w:p>
      <w:pPr>
        <w:pStyle w:val="Heading2"/>
      </w:pPr>
      <w:r>
        <w:t>Regeste</w:t>
      </w:r>
    </w:p>
    <w:p>
      <w:r>
        <w:t>Visa Schengen</w:t>
      </w:r>
    </w:p>
    <w:p>
      <w:pPr>
        <w:pStyle w:val="Heading2"/>
      </w:pPr>
      <w:r>
        <w:t>Erwägungen</w:t>
      </w:r>
    </w:p>
    <w:p>
      <w:r>
        <w:rPr>
          <w:b/>
        </w:rPr>
        <w:t>E. 1</w:t>
      </w:r>
    </w:p>
    <w:p>
      <w:r>
        <w:t>que sous réserve des exceptions prévues à l'art. 32 LTAF, le Tribunal, en vertu de l'art. 31 LTAF, connaît des recours contre les décisions au sens de l'art. 5 PA prises par les autorités mentionnées à l'art. 33 LTAF, ce qui englobe les décisions en matière de refus d'autorisation d'entrée dans l'Espace Schengen prononcées par le SEM et qu'en cette matière, il statue définitivement (cf. art. 1 al. 2 LTAF en relation avec l'art. 83 let. c ch. 1 LTF), qu'A._______ et B._______, qui ont pris part à la procédure devant l'autorité inférieure, ont qualité pour recourir (art. 48 al. 1 PA), que leur recours ayant, au surplus, été présenté dans la forme et les délais prescrits par la loi, il est recevable (art. 50 et 52 PA),</w:t>
      </w:r>
    </w:p>
    <w:p>
      <w:r>
        <w:rPr>
          <w:b/>
        </w:rPr>
        <w:t>E. 2</w:t>
      </w:r>
    </w:p>
    <w:p>
      <w:r>
        <w:t>que 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que 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et que, dans son arrêt, il prend en considération l'état de fait existant au moment où il statue (cf. ATAF 2014/1 consid. 2 et les réf. citées),</w:t>
      </w:r>
    </w:p>
    <w:p>
      <w:r>
        <w:rPr>
          <w:b/>
        </w:rPr>
        <w:t>E. 3</w:t>
      </w:r>
    </w:p>
    <w:p>
      <w:r>
        <w:t>que la politique des autorités suisses en matière de visa joue un rôle très important dans la prévention de l'immigration clandestine (cf. à ce sujet le Message du Conseil fédéral concernant la loi sur les étrangers du 8 mars 2002, FF 2002 3469, 3493 ch. 1.2.6), que lesdites autorités ne peuvent accueillir tous les étrangers qui désirent venir dans ce pays, que ce soit pour des séjours de courte ou de longue durée et peuvent donc légitimement appliquer une politique restrictive d'admission (cf. notamment ATF 135 I 143 consid. 2.2 ; voir également l'arrêt du TAFC-5953/2013 du 26 juin 2014 consid. 3 et les réf. citées), que la législation suisse sur les étrangers ne garantit aucun droit ni quant à l'entrée en Suisse, ni quant à l'octroi d'un visa, la Suisse - comme tous les autres Etats - étant en principe libre d'autoriser ou non l'entrée de ressortissants étrangers sur son territoire, sous réserve des obligations découlant du droit international (cf. FF 2002 3469, 3531 ch. 2.2 ; voir également ATF 135 II 1 consid. 1.1 ; ATAF 2014/1 consid. 4.1.1 et la jurisprudence citée) et que la réglementation Schengen ne confère pas plus de droit à l'entrée dans l'Espace Schengen ou à l'octroi d'un visa (cf. ATAF 2014/1 consid. 4.1.1 et 4.1.5), que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 qu'en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(cf. ATAF 2014/1 consid. 4.1.1 et 4.1.5, 2011/48 consid. 4.1), que le Règlement (CE) n° 539/2001 du Conseil du 15 mars 2001 (JO L 81/1 du 21 mars 2001, p. 1-7) différencie, en son art. 1 par. 1 et 2, les ressortissants des Etats tiers selon qu'ils sont soumis ou non à l'obligation du visa, que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(ci-après : code frontières Schengen [JO L 105/1 du 13 avril 2006 p. 1-32]), dont l'art. 5 a été modifié par le Règlement (UE) n° 610/2013 du Parlement européen et du Conseil du 26 juin 2013 modifiant le code frontières Schengen, la convention d'application de l'accord de Schengen, les Règlements (CE) n° 1683/95 et (CE) n° 539/2001 du Conseil et les Règlements (CE) n° 767/2008 et (CE) n° 810/2009 du Parlement européen et du Conseil (ci-après : code des visas ; JO L 182 du 29 juin 2013), que les conditions d'entrée ainsi prévues à l'art. 5 du code frontières Schengen correspondent, pour l'essentiel, à celles posées à l'art. 5 LEtr (RS 142.20 ; cf. notamment ATAF 2009/27 consid. 5.1 ; arrêt du TAF C-5953/2013 consid. 4.2), lequel - comme toute disposition concernant la procédure, l'entrée ou la sortie de Suisse - ne s'applique que dans la mesure où les accords d'association à Schengen, qui sont mentionnés à l'annexe 1, ch. 1 de la LEtr, ne contiennent pas de dispositions divergentes (cf. art. 2 al. 4 et 5 LEtr), que la délivrance d'un visa "uniforme" - c'est-à-dire valable pour l'ensemble du territoire des Etats membres de l'Espace Schengen (cf. art. 2 ch. 3 du code des visas) - est soumise à la condition que le requérant remplisse les conditions d'entrée et qu'il n'existe aucun motif de refus (cf. art. 21 et 32 du code des visas), qu'ainsi, le requérant ne doit en particulier pas représenter un risque pour l'ordre public, pour la sécurité intérieure ou pour les relations internationales de l'un des Etats membres (cf. art. 21 ch. 1 et 3 let. d et art. 32 ch. 1 let. a [vi] du code des visas), que cela est d'ailleurs corroboré par le code des visas, aux termes duquel il est notamment indiqué que lors de l'examen d'une demande de visa, il doit être procédé à une vérification des conditions d'entrée et à une évaluation des risques (cf. art. 21 du code des visas), et que la possibilité d'une consultation préalable des autorités centrales d'autres Etats membres est réservée (cf. art. 22 ch. 1 du code des visas), que la procédure de consultation énoncée à l'art. 22 du code des visas constitue précisément l'instrument qui permet aux Etats membres de l'Espace Schengen de faire valoir leurs propres intérêts en matière de sécurité dans le cadre d'une procédure de visa "étrangère", qu'il sied de relever que l'objection soulevée au cours d'une telle procédure de consultation déploie à l'égard du requérant des effets s'apparentant à un droit de veto ; aussi, indépendamment de son bien-fondé, la simple existence d'une telle objection exclut, ipso facto, la délivrance d'un visa uniforme en faveur de la personne qui le sollicite ("Ungeachtet seiner Berechtigung schliesst die blosse Existenz eines Einwands die Erteilung eines einheitlichen Visums aus" ; cf. arrêts du TAF C-4401/2014 du 16 juillet 2015 consid. 5.1 et C-6033/2009 du 23 mars 2012 consid. 4.2), que ce droit de veto a été transcrit dans le droit interne à l'art 12 al. 2 let. e OEV, celui-ci prévoyant que le visa est refusé lorsque dans le cadre de la procédure de consultation prévue à l'art. 22 du code des visas, un Etat Schengen s'oppose à l'octroi du visa, que dans un tel cas de figure, le Département fédéral des affaires étrangères et le SEM peuvent, dans les limites de leurs compétences respectives, délivrer un visa à validité territoriale limitée (VTL ; sur cette notion, voir art. 2 ch. 4 du code des visas) pour un séjour en Suisse d'une durée de 90 jours au plus, pour des raisons humanitaires, pour sauvegarder des intérêts nationaux ou en vertu d'engagements internationaux (cf. art. 12 al. 4 en relation avec l'art. 2 al. 4 OEV, art. 32 par. 1 en relation avec l'art. 25 par. 1 let. a ch. i et par. 2 du code des visas, et art. 5 par. 4 let. c du code frontières Schengen),</w:t>
      </w:r>
    </w:p>
    <w:p>
      <w:r>
        <w:rPr>
          <w:b/>
        </w:rPr>
        <w:t>E. 4</w:t>
      </w:r>
    </w:p>
    <w:p>
      <w:r>
        <w:t>qu'en l'espèce, il appert qu'en tant que ressortissants de la République démocratique du Congo, C._______ et D._______ sont soumis à l'obligation du visa, que selon les pièces au dossier, l'Ambassade de Suisse à Kinshasa, à la réception des demandes de visa du 1er avril 2015, a lancé une procédure de consultation (au sens de l'art. 22 du code des visas) auprès des Etats membres de l'Espace Schengen en date du 1er avril 2015 (cf. dossiers Symic (...) p. 45 et 54 et Symic (...) p. 30), qu'au cours de cette procédure de consultation, une objection a été élevée par un Etat membre le 2 avril 2015 (cf. dossiers Symic (...) p. 45 et 54 et Symic (...) p. 30), que, de la sorte, un Etat membre a utilisé son droit de veto à l'octroi d'un visa uniforme pour l'Espace Schengen, que la Suisse, étant liée par cette objection, doit refuser l'octroi des visa requis en application de l'art. 12 al. 2 let. e OEV, qu'il sied ici de souligner qu'il n'appartient pas au Tribunal de juger du bien-fondé de l'objection émise par un Etat membre ou encore de la validité de l'inscription de cette objection dans les systèmes de communication idoines, la Suisse se devant, d'une part, de respecter la législation Schengen et, d'autre part, de préserver, dans le champ d'application des règles de Schengen, les intérêts de tous les Etats parties aux accords d'association à Schengen (cf. ATAF 2011/48 consid. 6.1), que par ailleurs, les requérants et leurs hôtes n'ont pas invoqué de motifs susceptibles de justifier la délivrance en faveur de C._______ et D._______ d'un visa à validité territoriale limitée (cf. consid. 3 supra), que par surabondance, il convient encore de relever qu'un refus d'autorisation d'entrée en Suisse prononcé par les autorités helvétiques n'a pas en l'occurrence pour conséquence d'empêcher tant C._______ et D._______ que leur famille vivant en Suisse de se voir, puisqu'ils peuvent tout aussi bien se rencontrer hors de Suisse, notamment en République démocratique du Congo, que les conditions d'octroi d'un visa n'étant pas remplies, c'est donc de manière fondée que le SEM a écarté l'opposition du 16 avril 2015 et confirmé le refus d'octroyer aux intéressés une autorisation d'entrée dans l'Espace Schengen,</w:t>
      </w:r>
    </w:p>
    <w:p>
      <w:r>
        <w:rPr>
          <w:b/>
        </w:rPr>
        <w:t>E. 5</w:t>
      </w:r>
    </w:p>
    <w:p>
      <w:r>
        <w:t>qu'il s'ensuit que, par ses décisions du 13 mai 2015, le SEM n'a ni violé le droit fédéral, ni constaté des faits pertinents de manière inexacte ou incomplète ; qu'en outre, cette décision n'est pas inopportune (art. 49 PA), qu'en conséquence, le recours est rejeté, que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et il n'est pas octroyé de dépens,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