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C-3365/2011 vom 16. Dezember 2013</w:t>
      </w:r>
    </w:p>
    <w:p>
      <w:r>
        <w:t>Bundesverwaltungsgericht, 2013-12-16, DE</w:t>
      </w:r>
    </w:p>
    <w:p>
      <w:r>
        <w:rPr>
          <w:b/>
        </w:rPr>
        <w:t xml:space="preserve">Quelle: </w:t>
      </w:r>
      <w:r>
        <w:t>https://mcp.opencaselaw.ch/entscheid/bvger_C-3365_2011</w:t>
      </w:r>
    </w:p>
    <w:p>
      <w:r>
        <w:t>FR: TAF C-3365/2011 du 16 décembre 2013</w:t>
      </w:r>
    </w:p>
    <w:p>
      <w:r>
        <w:t>IT: TAF C-3365/2011 del 16 dicembre 2013</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das Verwaltungsgerichtsgesetz nichts anderes bestimmt.</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2012/21 E. 5.1, BVGE 2011/43 E. 6.1 und BVGE 2011/1 E. 2).</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135 II 161 E. 2 mit Hinweisen).</w:t>
      </w:r>
    </w:p>
    <w:p>
      <w:r>
        <w:rPr>
          <w:b/>
        </w:rPr>
        <w:t>E. 3.2</w:t>
      </w:r>
    </w:p>
    <w:p>
      <w:r>
        <w:t>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133 f.; Botschaft zur Änderung des Bürgerrechtsgesetzes vom 26. August 1987, BBl 1987 III 310; BGE 130 II 482 E. 2). Der Begriff der ehelichen Gemeinschaft bedeutet nach der bundesgerichtlichen Rechtsprechung mehr als nur das formelle Bestehen einer Ehe. Verlangt wird das Vorliegen einer tatsächlichen Lebensgemeinschaft, die getragen ist vom beidseitigen Willen der Ehepartner, ihre Ehe auch künftig aufrecht zu erhalten. Sowohl im Zeitpunkt der Gesuchseinreichung als auch im Zeitpunkt des Einbürgerungsentscheides muss eine tatsächliche Gemeinschaft bestehen, die Gewähr für die Stabilität der Ehe bietet. Zweifel am Willen der Ehegatten, die eheliche Gemeinschaft aufrecht zu erhalten, sind beispielsweise angebracht, wenn bereits kurze Zeit nach der erleichterten Einbürgerung die Trennung erfolgt oder die Scheidung eingeleitet wird (vgl. BGE 135 II 161 E. 2 mit Hinweisen).</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w:t>
      </w:r>
    </w:p>
    <w:p>
      <w:r>
        <w:rPr>
          <w:b/>
        </w:rPr>
        <w:t>E. 4.1</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Wie das Bundesverwaltungsgericht bereits entschieden hat, ist Art. 41 Abs. 1bis BüG anwendbar auf alle Einbürgerungsfälle, in denen die altrechtliche Frist von fünf Jahren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Bundesverwaltungsgerichts C 476/2012 vom 19. Juli 2012 E. 4.4 mit Hinweis, vgl. auch die Konstellation im Urteil des Bundesgerichts 1C_ 516/2012 vom 29. Juli 2013).</w:t>
      </w:r>
    </w:p>
    <w:p>
      <w:r>
        <w:rPr>
          <w:b/>
        </w:rPr>
        <w:t>E. 4.2</w:t>
      </w:r>
    </w:p>
    <w:p>
      <w:r>
        <w:t>In der vorliegenden Streitsache sind die formellen Voraussetzungen des Art. 41 Abs. 1 und Abs. 1bis BüG erfüllt. Die von Abs. 1 geforderte Zustimmung des Heimatkantons liegt vor und die relative zweijährige sowie die absolute achtjährige Frist des Abs. 1bis wurden gewahrt.</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6.1</w:t>
      </w:r>
    </w:p>
    <w:p>
      <w:r>
        <w:t>Im Falle der erleich­terten Einbürgerung wird, wenn sich Ehegatten bereits kurze Zeit nach der Einbürgerung trennen, in steter Praxis die sich auf die Lebenserfahrung stützende Vermutung aufgestellt, dass bereits im Zeitpunkt der Einbürgerung keine zukunftsgerichtete, stabile eheliche Gemeinschaft mehr bestand (vgl. BGE 135 II 161 E. 2 f. mit Hinweisen). Die Vorinstanz geht aufgrund der zeitlichen Abfolge der Ereignisse sowie aufgrund erst nachträglich bekannt gewordener Tatsachen im Zusammenhang mit der Ehe von der Vermutung aus, die Beschwerdeführerin habe bei Unterzeichnung der Erklärung am 21. März 2006 und zum Zeitpunkt der Einbürgerung am 31. Mai 2006 nicht (mehr) in einer stabilen und zukunftsgerichteten Ehe mit ihrem Schweizer Ehemann gelebt.</w:t>
      </w:r>
    </w:p>
    <w:p>
      <w:r>
        <w:rPr>
          <w:b/>
        </w:rPr>
        <w:t>E. 6.2</w:t>
      </w:r>
    </w:p>
    <w:p>
      <w:r>
        <w:t>Aus den Akten geht hervor, dass die Beschwerdeführerin im Jahre 1997 den um 11 Jahre älteren F._______ heiratete. Am 22. April 2002 stellte sie ein Gesuch um erleichterte Einbürgerung. Anlässlich einer ersten Wohnungskontrolle am 3. Dezember 2002 konnte einzig die Beschwerdeführerin angetroffen werden. Da überdies der Mietvertrag lediglich auf sie lautete und darin verzeichnet war, dass nur eine Person im Haushalt lebte, wurde das Einbürgerungsgesuch wegen Zweifeln an der ehelichen Gemeinschaft zurückgestellt. Am 4. Februar 2004 wurde das erste Kind von F._______ und der in der Schweiz niederlassungsberechtigten Staatsangehörigen der Dominikanischen Republik, M._______ (geb. 1962) zur Welt gebracht. Auch bei der zweiten Wohnungskontrolle am 7. Mai 2004 befand sich nur die Beschwerdeführerin in der ehelichen Wohnung. Wiederholte Versuche, den arbeitslosen Ehegatten auf dem Festnetz zu erreichen, blieben erfolglos. Am 10. Mai 2005 erblickte das erste Kind der Beschwerdeführerin das Licht der Welt. Vater des Kindes ist H._______. Die heutigen Ehegatten F._______ wurden am 26. August 2005 zum zweiten Mal Eltern. Als am 20. September 2005 eine dritte Wohnungskontrolle durchgeführt wurde, konnte der Ehemann der Beschwerdeführerin erneut nicht angetroffen werden. Hingegen erklärte diese den Behörden, dass ihr Ehemann der Vater des anwesenden Kindes sei. Nachdem die Ehegatten am 21. März 2006 die Erklärung betreffend eheliche Gemeinschaft unterzeichnet hatten, wurde die Beschwerdeführerin am 31. Mai 2006 erleichtert eingebürgert. In der Folge anerkannte H._______ am 31. Juli 2006 seine beiden ausserehelichen Kinder. Vier Monate später meldete er sich offiziell an der Adresse der Beschwerdeführerin ab und zog zusammen mit seiner heutigen Ehefrau und Mutter ihrer gemeinsamen Kinder nach U._______, A._______. Am 26. Juni 2008 wurden die Beschwerdeführerin und H._______ zum zweiten Mal Eltern. Seit dem 1. Dezember 2009 ist die Beschwerdeführerin rechtskräftig geschieden. Während sie derzeit nicht verheiratet ist, hat ihr Ex-Ehemann M._______, die Mutter seiner Kinder geehelicht. Am 26. März 2012 gründete die Beschwerdeführerin die G._______, welche den Import und Export diverser Güter bezweckt (vgl. SHAB [...]). Diese zeitliche Abfolge der Ereignisse und die Tatsache, dass Vieles erst nachträglich bekannt wurde, begründen ohne Weiteres die Vermutung, die Beschwerdeführerin habe zum Zeitpunkt der Unterzeichnung der gemeinsamen Erklärung sowie demjenigen der erleichterten Einbürgerung nicht (mehr) in einer stabilen ehelichen Gemeinschaft gelebt.</w:t>
      </w:r>
    </w:p>
    <w:p>
      <w:r>
        <w:rPr>
          <w:b/>
        </w:rPr>
        <w:t>E. 7</w:t>
      </w:r>
    </w:p>
    <w:p>
      <w:r>
        <w:t>Es mag zutreffen, dass die aussereheliche Zeugung eines Kindes als Ergebnis eines Seitensprungs - wie die Beschwerdeführerin vorbringt - in der heutigen Zeit nicht mehr gesellschaftsfremd ist. Die Tatsache, dass es überhaupt zu sexuellen Kontakten kam, bildet jedoch ein starkes Indiz gegen das Bestehen einer intakten Ehe. Denn die sexuelle Treue gilt trotz gewandelter Moral nach wie vor als zentrales Element einer Ehe (vgl. Urteil des Bundesverwaltungsgerichts C-2227/2012 vom 11. September 2013 E. 7.4.1), weshalb im Widerspruch dazu stehende Verhaltensweisen typischer für nicht intakte Ehen sind als für intakte (zur Beweiskraft von Indizien als Quotient von Merkmalwahrscheinlichkeiten vgl. Rolf Bender / Armin Nack / Wolf-Dieter Treuer, Tatsachenfeststellungen vor Gericht, 3. Aufl., München 2007, Rz. 679 ff.). Im vorliegenden Fall haben beide Ehegatten zwischen 2004 und 2008 je zwei aussereheliche Kinder mit jeweils demselben Partner gezeugt. Der Ex-Ehemann ist heute sogar mit der Mutter seiner ausserehelichen Kinder verheiratet. Es stellt sich daher die Frage, ob die Zeugung von vier Kindern tatsächlich nur als Folge jeweiliger Seitensprünge gewertet werden kann.</w:t>
      </w:r>
    </w:p>
    <w:p>
      <w:r>
        <w:rPr>
          <w:b/>
        </w:rPr>
        <w:t>E. 8.1</w:t>
      </w:r>
    </w:p>
    <w:p>
      <w:r>
        <w:t>Die Aufnahme bzw. das Aufrechterhalten einer Parallelbeziehung ist mit einer stabilen Ehegemeinschaft, wie sie Art. 27 BüG voraussetzt, grundsätzlich nicht vereinbar und gilt als bedeutendes Indiz gegen einen intakten Willen zu einer stabilen ehelichen Gemeinschaft (vgl. Urteil des Bundesgerichts 1C_390/2011 vom 22. August 2012 E. 5.1 sowie Urteil des Bundesverwaltungs­gerichts C-955/2008 vom 15. Juli 2011 E. 9.2 je mit Hinweisen).</w:t>
      </w:r>
    </w:p>
    <w:p>
      <w:r>
        <w:rPr>
          <w:b/>
        </w:rPr>
        <w:t>E. 8.2</w:t>
      </w:r>
    </w:p>
    <w:p>
      <w:r>
        <w:t>Die Akten enthalten bedeutende Hinweise, wonach der Ex-Ehemann der Beschwerdeführerin während längerer Zeit eine aussereheliche Beziehung unterhielt. So wurde er am 4. Februar 2004 und am 26. August 2005 Vater von zwei Kindern mit deren Mutter er heute verheiratet ist. Die Vaterschaftsanerkennung erfolgte jedoch erst zwei Monate nachdem die Beschwerdeführerin am 31. Mai 2006 erleichtert eingebürgert worden war. Damit drängt sich die Vermutung auf, der Ex-Ehemann habe mit der Anerkennung seiner ausserehelichen Kinder absichtlich zugewartet, um die erleichterte Einbürgerung der Beschwerdeführerin nicht zu gefährden. Auch die Behauptungen des Rechtsvertreters, der Ex-Ehemann habe sich im Oktober 2006 vom gemeinsamen Wohnsitz abgemeldet, weil er seine eigenen Probleme gehabt habe, erscheint wenig plausibel, geht doch aus den Akten unbestritten hervor, dass der Ex-Ehemann, nachdem er sich vom Wohnsitz der Beschwerdeführerin abgemeldet hatte, eine neue Wohnsituation in U._______, A._______ mit seiner späteren Ehefrau und den gemeinsamen Kindern begründet hat. Bis heute ist der Ex-Ehemann mit der Mutter seiner Kinder verheiratet und lebt mit ihnen in derselben gemeinsamen Familienwohnung.</w:t>
      </w:r>
    </w:p>
    <w:p>
      <w:r>
        <w:rPr>
          <w:b/>
        </w:rPr>
        <w:t>E. 8.3</w:t>
      </w:r>
    </w:p>
    <w:p>
      <w:r>
        <w:t>Zweifellos - und damit entgegen den Vorbringen der Beschwerdeführerin - unterhielt der Ex-Ehemann während des gesamten Einbürgerungsverfahrens und möglicherweise bereits zuvor eine auf Dauer ausgerichtete aussereheliche Beziehung und hatte mit seiner heutigen Ehefrau eine eigentliche Parallelfamilie. Angesichts weiterer aktenkundiger Widersprüche stellt sich die Frage, ob er tatsächlich jemals ernsthaft mit der Beschwerdeführerin in einer ehelichen Gemeinschaft gelebt hatte, gab er doch anlässlich einer Einvernahme durch die Stadtpolizei N._______ vom 24. Mai 2004 an, die Beschwerdeführerin im Jahr 1993 kennengelernt und sie vier Jahre später geheiratet zu haben. Hingegen behauptete er in seiner Stellungnahme vom 11. Februar 2011, er habe die Beschwerdeführerin vor 14 Jahren kennen gelernt und sie nach wenigen Monaten geheiratet. Eine aussereheliche Beziehung als Hauptbeziehung würde auch erklären, weshalb der Mietvertrag der ehelichen Wohnung lediglich auf die Beschwerdeführerin lautete und sie die Wohnung als Einpersonenhaushalt deklarierte. Damit würde auch klar, weshalb der Ex-Ehemann weder bei den unangemeldeten Wohnungskontrollen durch die Behörden noch anlässlich vieler Anrufsversuche auf dem Festnetz erreicht werden konnte, obwohl er zeitweise arbeitslos war. Zwar hat die Beschwerdeführerin in ihrer Eingabe vom 10. Mai 2005 eingestanden, dass der Vorwand des Ehegatten, sich bereits am frühen Morgen mit Kollegen zu treffen und deshalb telefonisch nicht erreichbar gewesen zu sein, wenig glaubhaft sei. Doch konnte sie dafür keinen anderen, nachvollziehbaren Grund nennen und beharrte einzig darauf, dass die Ehe intakt sei und gelebt werde.</w:t>
      </w:r>
    </w:p>
    <w:p>
      <w:r>
        <w:rPr>
          <w:b/>
        </w:rPr>
        <w:t>E. 9.1</w:t>
      </w:r>
    </w:p>
    <w:p>
      <w:r>
        <w:t>Es treten weitere bedeutende Indizien hinzu, welche die Glaubwürdigkeit der Ehegatten bzw. die Ernsthaftigkeit ihrer Ehe in Frage zu stellen vermögen. So hat der Rechtsvertreter der Beschwerdeführerin in seiner Stellungnahme vom 13. Oktober 2010 behauptet, beim Vater ihrer Kinder handle es sich um eine Ferienbekanntschaft. Richtig ist jedoch, dass H._______ bereits im Rahmen des Einbürgerungsverfahrens ein Bestätigungsschreiben eingereicht hatte, worin er angab, die Ehegatten seit über fünf Jahren zu kennen und ihnen in der Vergangenheit einen Teil seiner Wohnungsmöbel zur Verfügung gestellt zu haben. Offensichtlich war er bereits dazumal nicht bloss eine flüchtige Bekanntschaft. Ebenso abwegig ist die Aussage der Beschwerdeführerin, wonach sie gedacht habe, ihr Ex-Ehemann sei der Vater der Kinder, bis sich ein anderer Mann im Jahre 2009 plötzlich als solcher zu erkennen gegeben habe, hat dieser doch bereits am 15. Januar 2008 in einem Schreiben an den Rechtsvertreter der Beschwerdeführerin bestätigt, der biologische Vater des ersten sowie ebenfalls des damals noch ungeborenen zweiten Kindes der Beschwerdeführerin zu sein. In eben diesem Schreiben hat er die Beschwerdeführerin als seine Partnerin bezeichnet. Es erscheint zudem wenig wahrscheinlich, dass der Vater der Kinder von seiner Vaterschaft gewusst haben soll, die Mutter jedoch nicht. Die Beschwerdeführerin nennt keine Gründe, welche diese Behauptung bestätigen könnten. Angesichts der gesamten Umstände ist mit grosser Wahrscheinlichkeit davon auszugehen, dass die Beschwerdeführerin von Anfang an wusste, wer der leibliche Vater ihres ersten Kindes war und dass sie zumindest während einer gewissen Zeitspanne eine Beziehung mit diesem unterhielt. Zudem hat sie das im März 2012 gegründete Unternehmen nach dem Vater ihrer Kinder benannt. Sie musste aber die Zweifel der Behörden an einer tatsächlich gelebten Ehegemeinschaft beseitigen, um erleichtert eingebürgert werden zu können. Dies tat sie, indem sie vorgab, der Vater ihres ersten Kindes sei ihr damaliger Ehemann.</w:t>
      </w:r>
    </w:p>
    <w:p>
      <w:r>
        <w:rPr>
          <w:b/>
        </w:rPr>
        <w:t>E. 9.2</w:t>
      </w:r>
    </w:p>
    <w:p>
      <w:r>
        <w:t>Schliesslich fällt ins Gewicht, dass zwischen der erleichterten Einbürgerung der Beschwerdeführerin und dem Auszug ihres Ex-Ehegatten aus der gemeinsamen Wohnung lediglich vier Monate liegen, also eine Zeitspanne, die nach der Rechtsprechung die natürliche Vermutung begründen kann, dass die Ehe zum Zeitpunkt der erleichterten Einbürgerung nicht intakt war, zumal wenn andere belastende Indizien hinzutreten (vgl. etwa Urteile des Bundesgerichts 1C_155/2012 vom 26. Juli 2012 E. 2.3 und 1C_172/2012 vom 11. Mai 2012 E. 2.3). Weshalb es so rasch zur Trennung einer zuvor angeblich intakten und auf die Zukunft ausgerichteten Ehe kam, dazu äussern sich die Beschwerdeführerin und ihr geschiedener Ehemann nicht. Sie machen kein ausserordentliches Ereignis für das Scheitern ihrer Ehe verantwortlich, sondern bringen in allgemeiner und unverbindlicher Weise vor, dass die Ehe bis zur Scheidung in geordneten Bahnen verlaufen sei. Zudem wollen sie glauben machen, dass es während der gesamten Ehedauer kaum zu Schwierigkeiten gekommen sei, obwohl sie unter anderem mit hohen Schulden, der Arbeitslosigkeit des Ehegatten und vier ausserehelichen Kinder konfrontiert waren. Dies ist jedoch ebenso realitätsfremd, wie die Trennung und Scheidung von einem Tag auf den anderen. Dieser überaus rasche und finale Entschluss widerspricht insbesondere der allgemeinen Lebenserfahrung, führen doch allfällige, nach langjährigem ehelichem Zusammenleben in einer tatsächlichen, intakten und stabilen ehelichen Gemeinschaft auftretende Schwierigkeiten erst nach einem längeren (regelmässig von Versöhnungsversuchen unterbrochenen) Prozess der Zerrüttung zu deren Auflösung (vgl. Urteil des Bundesgerichts 1C_469/2010 vom 21. Februar 2011 E. 5 mit weiteren Hinweisen). Dies sollte in casu umso mehr gelten, als die Ehe angeblich noch bis ins Jahr 2009 völlig harmonisch gewesen sein soll. Es ist offensichtlich, dass diese Vorbringen lediglich Schutzbehauptungen darstellen.</w:t>
      </w:r>
    </w:p>
    <w:p>
      <w:r>
        <w:rPr>
          <w:b/>
        </w:rPr>
        <w:t>E. 9.3</w:t>
      </w:r>
    </w:p>
    <w:p>
      <w:r>
        <w:t>Was die zu den Einbürgerungsakten gereichten Unterstützungsschreiben von Drittpersonen anbelangt, so versteht es sich von selbst und bedarf keiner besonderen Erläuterungen, dass damit der Beweis einer intakten, auf die Zukunft gerichteten Ehe nicht zu erbringen ist. Vielmehr beschränken sich diesbezügliche Aussagen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 des Bundesverwaltungsgerichts C-378/2008 vom 29. November 2011 E. 7.2.6 mit Hinweis). Von der in der Rechtsmitteleingabe beantragten Befragung einer dieser Personen, die im Einbürgerungsverfahren ein entsprechendes Bestätigungsschreiben verfasst haben, kann demnach in antizipierter Beweiswürdigung abgesehen werden.</w:t>
      </w:r>
    </w:p>
    <w:p>
      <w:r>
        <w:rPr>
          <w:b/>
        </w:rPr>
        <w:t>E. 10</w:t>
      </w:r>
    </w:p>
    <w:p>
      <w:r>
        <w:t>Der Beschwerdeführerin ist es somit nicht gelungen, die gegen sie sprechende Vermutung überzeugend in Frage zu stellen, dass zum Zeitpunkt der gemeinsamen Erklärung vom 21. März 2006 und der erleichterten Einbürgerung am 31. Mai 2006 zwischen ihr und ihrem Schweizer Ehemann keine stabile und auf die Zukunft ausgerichtete eheliche Gemeinschaft bestanden hat. Aufgrund der gesamten Umstände muss im Gegenteil davon ausgegangen werden, dass der Ehewille, war dieser tatsächlich je vorhanden, bereits einige Zeit vorher erloschen war und an der Ehe schlussendlich nur festgehalten wurde, um der Beschwerdeführerin zum Schweizer Bürgerrecht zu verhelfen. Indem die Beschwerdeführerin in der gemeinsamen Erklärung den Bestand einer intakten und stabilen Ehe versicherte, und sie zusammen mit dem Ehemann die wahre Elternschaft von drei ausserehelichen Kinder verheimlichte, hat sie die Behörden über wesentliche Tatsachen getäuscht und die erleichterte Einbürgerung im Sinne von Art. 41 Abs. 1 BüG erschlichen. Die materiellen Voraussetzungen für die Nichtigerklärung der erleichterten Einbürgerung sind folglich ebenfalls erfüllt.</w:t>
      </w:r>
    </w:p>
    <w:p>
      <w:r>
        <w:rPr>
          <w:b/>
        </w:rPr>
        <w:t>E. 11</w:t>
      </w:r>
    </w:p>
    <w:p>
      <w:r>
        <w:t>Gemäss Art. 41 Abs. 3 BüG erstreckt sich die Nichtigkeit auf alle Familienmitglieder, deren Schweizer Bürgerrecht auf der nichtig erklärten Einbürgerung beruht, sofern nicht ausdrücklich anders verfügt wird. Im vorliegenden Fall verfügen die beiden Kinder, wovon eines vor und das andere nach der erleichterten Einbürgerung der Beschwerdeführerin geborenen sind, über die tansanianische Bürgerschaft. Durch die Begründung des Kindesverhältnisses zum Vater H._______ haben sie das Schweizer Bürgerrecht ohnehin erworben, wie wenn der Erwerb durch Geburt erfolgt wäre (vgl. Art. 1 Abs. 2 BüG). Die Nichtigerklärung der erleichterten Einbürgerung der Beschwerdeführerin tangiert das Schweizer Bürgerrecht ihrer Kinder somit nicht.</w:t>
      </w:r>
    </w:p>
    <w:p>
      <w:r>
        <w:rPr>
          <w:b/>
        </w:rPr>
        <w:t>E. 12</w:t>
      </w:r>
    </w:p>
    <w:p>
      <w:r>
        <w:t>Aus den vorstehenden Erwägungen ergibt sich, dass die angefochtene Verfügung rechtmässig ist (Art. 49 VwVG). Die Beschwerde ist daher abzuweisen.</w:t>
      </w:r>
    </w:p>
    <w:p>
      <w:r>
        <w:rPr>
          <w:b/>
        </w:rPr>
        <w:t>E. 13</w:t>
      </w:r>
    </w:p>
    <w:p>
      <w:r>
        <w:t>Entsprechend dem Ausgang des Verfahrens sind die Kosten der Beschwerdeführerin aufzuerlegen (vgl. Art. 63 Abs. 1 VwVG i.V.m. Art. 1 ff.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