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C-3362/2013 vom 29. Februar 2016</w:t>
      </w:r>
    </w:p>
    <w:p>
      <w:r>
        <w:t>Bundesverwaltungsgericht, 2016-02-29, DE</w:t>
      </w:r>
    </w:p>
    <w:p>
      <w:r>
        <w:rPr>
          <w:b/>
        </w:rPr>
        <w:t xml:space="preserve">Quelle: </w:t>
      </w:r>
      <w:r>
        <w:t>https://mcp.opencaselaw.ch/entscheid/bvger_C-3362_2013</w:t>
      </w:r>
    </w:p>
    <w:p>
      <w:r>
        <w:t>FR: TAF C-3362/2013 du 29 février 2016</w:t>
      </w:r>
    </w:p>
    <w:p>
      <w:r>
        <w:t>IT: TAF C-3362/2013 del 29 febbraio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Beschwerden wurden frist- und formgerecht eingereicht (vgl. Art. 22a VwVG in Verbindung mit Art. 60 ATSG und Art. 52 Abs. 1 VwVG; vgl. auch die Zwischenverfügung vom 2. Juli 2014 betreffend Fristenstillstand [BVGer act. 15]). Als Adressatin ist die Beschwerdeführerin durch die angefochtenen Verfügungen berührt und hat ein schutzwürdiges Interesse an deren Aufhebung oder Änderung (vgl. Art. 59 ATSG). Auf die Beschwerden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Die Beschwerdeführerin ist kroatische Staatsangehörige mit Wohnsitz in Kroatien, das seit dem 1. Juli 2013 Mitglied der EU ist. Mangels Unterzeichnung bzw.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(nachfolgend: Sozialversicherungsabkommen, SR 0.831.109.291.1) und die Verwaltungsvereinbarung zur Durchführung dieses Sozialversicherungsabkommens vom 24. November 1997 (SR 0.831.109.291.12) anzuwenden. Nach Art. 4 Abs. 1 des Abkommens sind die Staatsangehörigen des einen Vertragsstaates in ihren Rechten und Pflichten aus den Rechtsvorschriften des anderen Vertragsstaates, zu denen gemäss Art.1 Abs. 1 Bst. a in Verbindung mit Art. 2 A Bst. ii die Bundesgesetzgebung über die schweizerische Invalidenversicherung gehört, den Staatsangehörigen dieses Vertragsstaates gleichgestellt; abweichende Bestimmungen in diesem Abkommen bleiben vorbehalten. Betreffend die Voraussetzungen des Anspruchs auf eine schweizerische Invalidenrente sind keine abweichenden Vorschriften auszumachen.</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Damit finden im vorliegenden Verfahren grundsätzlich jene schwei­zerischen Rechtsvorschriften Anwendung, die bei Erlass der angefoch­tenen Verfügungen vom 30. Juli 2012 und 14. Mai 2013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4.2</w:t>
      </w:r>
    </w:p>
    <w:p>
      <w:r>
        <w:t>Vor der Berechnung des Invaliditätsgrades muss jeweils beurteilt werden, ob die versicherte Person als (teil-)erwerbstätig oder nichterwerbstätig einzustufen ist (sogenannte Statusfrage),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und Hausmännern,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4.3</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4.5</w:t>
      </w:r>
    </w:p>
    <w:p>
      <w:r>
        <w:t>Laut Art. 29 Abs. 4 IVG in der ab 1. Januar 2008 geltenden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Eine solche Ausnahme gilt aufgrund des FZA zwar seit dem 1. Juni 2002 für die Staatsangehörigen eines Mitgliedstaates der EU und der Schweiz, sofern sie in einem Mitgliedstaat der EU Wohnsitz haben (BGE 130 V 253 E. 2.3 und 3.1). Wie sich vorstehend gezeigt hat, ist das FZA trotz Beitritt Kroatiens zur EU per 1. Juli 2013 jedoch nicht anwendbar (vgl. vorstehende E. 3.1). Da das nach wie vor massgebende Sozialversicherungsabkommen nach Art. 5 Abs. 2 keine entsprechende Ausnahmeregelung vorsieht, gelangt Art. 29 Abs. 4 IVG zur Anwendung. Nach der Rechtsprechung des EVG stellt diese Regelung nicht eine blosse Auszahlungsvorschrift, sondern eine besondere Anspruchsvoraussetzung dar (BGE 121 V 275 E. 6c). Mangels Anwendbarkeit des FZA ist die angefochtene Verfügung nicht zu beanstanden, soweit die Vorinstanz den Rentenanspruch der Beschwerdeführerin trotz eines Invaliditätsgrads von 40 % verneint hat. Offen bleiben kann sodann die Frage, ob die Vorinstanz der Beschwerdeführerin ab Beitritt Kroatiens zur EU per 1. Juli 2013 automatische eine Viertelsrente hätte ausrichten müssen.</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w:t>
      </w:r>
    </w:p>
    <w:p>
      <w:r>
        <w:t>Gemäss rechtskräftiger Zwischenverfügung vom 2. Juli 2014 ist zunächst zu prüfen, ob die Vorinstanz den Rentenanspruch der Beschwerdeführerin mit Verfügung vom 30. Juli 2012 zu Recht verneint hat (vgl. BVGer act. 15). Rechtsprechungsgemäss ist dabei auf den bis zum Zeitpunkt des Erlasses der streitigen Verfügung eingetretenen Sachverhalt abzustellen (BGE 132 V 220 E. 3.1.1 mit Hinweisen). Sollte sich dabei herausstellen, dass die Verfügung vom 30. Juli 2012 zu bestätigen ist, wäre in einem zweiten Schritt die Rechtmässigkeit der Verfügung vom 14. Mai 2013, womit die Vorinstanz auf die Neuanmeldung zum Leistungsbezug nicht eingetreten ist, zu prüfen. Anders verhält sich indessen, wenn das Gericht zum Schluss gelangt, dass die Verfügung vom 30. Juli 2012 mangels rechtskonformer Sachverhaltsabklärung aufzuheben und zur weiteren Abklärung und anschliessender Neuverfügung an die Vorinstanz zurückzuweisen ist. In diesem Fall wäre die Verfügung vom 14. Mai 2013 ersatzlos aufzuheben, setzt doch die Neuanmeldung nach Art. 87 Abs. 4 IVV in Verbindung mit Abs. 3 dieser Bestimmung gerade voraus, dass die versicherte Person eine anspruchserhebliche Sachverhaltsveränderung seit der letztmaligen Verfügung, womit der Rentenanspruch rechtskräftig abgewiesen wurde, glaubhaft macht.</w:t>
      </w:r>
    </w:p>
    <w:p>
      <w:r>
        <w:rPr>
          <w:b/>
        </w:rPr>
        <w:t>E. 6.1</w:t>
      </w:r>
    </w:p>
    <w:p>
      <w:r>
        <w:t>Die Vorinstanz hat die Beschwerdeführerin in der Verfügung vom 30. Juli 2012 als im Haushalt tätige Person eingestuft. Ab dem 24. April 2009 sei ihr diese Betätigung noch zu 35 % zumutbar gewesen. Ab dem 31. Januar 2010 habe die Einschränkung noch 60 % betragen, sodass der Invaliditätsgrad nach Ablauf des Wartejahrs 40 % betrage. Da die Beschwerdeführerin kroatische Staatsangehörige mit Wohnsitz in Kroatien sei, bestünde jedoch kein Anspruch auf eine Viertelsrente (act. 64-1 ff.).</w:t>
      </w:r>
    </w:p>
    <w:p>
      <w:r>
        <w:rPr>
          <w:b/>
        </w:rPr>
        <w:t>E. 6.2</w:t>
      </w:r>
    </w:p>
    <w:p>
      <w:r>
        <w:t>Die Beschwerdeführerin bemängelt im Wesentlichen die vorinstanzliche Einschätzung ihrer Leistungsfähigkeit. Diese sei aufgrund ihrer Krankengeschichte nicht nachvollziehbar. Es sei ihr - wie schon in ihrem Heimatland - eine ganze Invalidenrente auszurichten. Für den Fall, dass dazu weitere Abklärungen notwendig seien, biete sie ihre volle Mitwirkung an (BVGer act. 21).</w:t>
      </w:r>
    </w:p>
    <w:p>
      <w:r>
        <w:rPr>
          <w:b/>
        </w:rPr>
        <w:t>E. 6.3</w:t>
      </w:r>
    </w:p>
    <w:p>
      <w:r>
        <w:t>Demgegenüber erachtet die Vorinstanz die im Rahmen der Verfügung vom 30. Juli 2012 erfolgte Beurteilung der Leistungsfähigkeit der Beschwerdeführerin durch die Ärztin des IV-ärztlichen Dienstes als voll beweiskräftig (BVGer act. 19). Auch die im Rahmen des Beschwerdeverfahrens erfolgte erneute Beurteilung durch den RAD, habe keine neuen Sachverhaltselemente ergeben (BVGer act. 27).</w:t>
      </w:r>
    </w:p>
    <w:p>
      <w:r>
        <w:rPr>
          <w:b/>
        </w:rPr>
        <w:t>E. 7</w:t>
      </w:r>
    </w:p>
    <w:p>
      <w:r>
        <w:t>Vorab ist festzuhalten, dass die Ausrichtung der Invalidenrente der kroatischen Sozialversicherung keine präjudizielle Wirkung für den Leistungsanspruch der schweizerischen Invalidenversicherung entfaltet. Vielmehr richtet sich der vorliegend umstrittene Rentenanspruch allein nach den schweizerischen Rechtsvorschriften (vgl. vorstehende E. 3.2). Zu prüfen ist nachfolgend insbesondere, ob der zur Beurteilung des Leistungsanspruchs massgebliche rechtserhebliche Sachverhalt rechtsgenüglich abgeklärt wurde.</w:t>
      </w:r>
    </w:p>
    <w:p>
      <w:r>
        <w:rPr>
          <w:b/>
        </w:rPr>
        <w:t>E. 7.1</w:t>
      </w:r>
    </w:p>
    <w:p>
      <w:r>
        <w:t>Hinsichtlich der Statusfrage ist aktenkundig, dass die Beschwerdeführerin nach der Rückkehr in ihr Heimatland im Jahr 1998 - abgesehen von einer befristeten Dauer von drei Monaten - nicht erwerbstätig, sondern mit der Haushaltsführung betraut war (act. 14-1 ff.). Die Vorinstanz hat die Beschwerdeführerin daher zu Recht als nichterwerbstätige Versicherte qualifiziert, welche im häuslichen Aufgabenbe-reich tätig ist, so dass sich die Bemessung der Invalidität nicht nach Art. 16 ATSG, sondern nach Art. 28a Abs. 2 IVG richtet (spezifische Methode). Es ist folglich darauf abzustellen, in welchem Masse die Beschwerdeführerin unfähig ist, sich in diesem Aufgabenbereich zu betätigen. Als Aufgabenbereich der im Haushalt tätigen Versicherten gelten insbesondere die übliche Tätigkeit im Haushalt, die Erziehung der Kinder sowie gemeinnützige und künstlerische Tätigkeiten (Art. 27 IVV). Die Invalidität wird aufgrund eines Betätigungsvergleichs ermittelt.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w:t>
      </w:r>
    </w:p>
    <w:p>
      <w:r>
        <w:rPr>
          <w:b/>
        </w:rPr>
        <w:t>E. 7.2</w:t>
      </w:r>
    </w:p>
    <w:p>
      <w:r>
        <w:t>In der Verfügung vom 30. Juli 2012 stützte sich die Vorinstanz insbesondere auf die Stellungnahmen von IV-Ärztin Dr. med. B.________, Fachärztin Onkologie und Hämatologie, vom 12. August 2011 und 15. März 2012 (act. 38-1 ff und act. 59-1 ff.). Die Stellungnahmen von Dr. med. B._______ geben stichwortartig die Berichte der behandelnden kroatischen Ärzte wieder, wobei folgende Diagnosen genannt werden: "Depressio (F32.2); Neo recti (C20); Meta lymphonodorum (C77.5); St. post hemicolectomiam; St. post chemoradiotherapiam". Dr. med. B.________ hielt im Wesentlichen fest, dass die Beschwerdeführerin am 30. April 2009 wegen eines Adenokarzinoms am Rektum operativ bzw. postoperativ chemo- und radiotherapeutisch behandelt worden sei. Sodann sei in einem ersten neuropsychiatrischen Bericht vom 29. Dezember 2010 ein reaktiv ängstlich-depressiver Zustand aufgrund der schweren Tumorerkrankung genannt worden, der psychotherapeutisch und medikamentös behandelt worden sei. Betreffend den psychiatrischen Gesundheitszustand verwies sie sodann in ihrer zweiten Stellungnahme auf den psychiatrischen Bericht vom 23. Januar 2011. Darin wurde in somatischer Hinsicht zunächst aufgeführt, dass die Beschwerdeführerin ihren Stuhlgang nicht halten könne, über Druck und Schmerzen im unteren Abdomenbereich klage und nicht länger sitzen könne. Im Übrigen wurden - ebenfalls stichwortartig - psychiatrische Befunde aufgelistet und die medikamentöse Behandlung wiedergegeben (vgl. auch act. 54). Dr. med. B.________ kam zum Schluss, dass die Beschwerdeführerin während der Krebsbehandlung im Aufgabenbereich Haushalt sehr eingeschränkt gewesen sei. In der Folge habe sich ihr Zustand verbessert, wobei im Wesentlichen bei schweren Tätigkeiten Einschränkungen und regelmässiger Pausenbedarf bestünden. Anhand eines Betätigungsvergleichs bemass Dr. med. B._______ den Invaliditätsgrad für den Zeitraum April 2009 bis Januar 2010 auf 65 %. Ab Januar 2010 hielt sie sodann ohne Vornahme eines Betätigungsvergleichs einen Invaliditätsgrad von 40 % fest (act. 59-1 ff.).</w:t>
      </w:r>
    </w:p>
    <w:p>
      <w:r>
        <w:rPr>
          <w:b/>
        </w:rPr>
        <w:t>E. 8.1</w:t>
      </w:r>
    </w:p>
    <w:p>
      <w:r>
        <w:t>Um feststellen zu können, in welchem Masse eine versicherte Person im Haushalt zufolge ihrer gesundheitlichen Beschwerden eingeschränkt ist, bedarf es im Prinzip einer Abklärung vor Ort (vgl. Art. 69 Abs. 2 IVV; BGE 130 V 97 E. 3.3.1 sowie Urteile des BGer 9C_121/2011 vom 31. März 2011 E. 3.1.1 mit Hinweisen und 8C_671/2007 vom 13. Juni 2008 E. 3.2.1). Diese Abklärungsberichte im Haushalt stellen grundsätzlich eine geeignete und im Regelfall genügende Grundlage für die Invaliditätsbemessung im Haushalt dar (Urteil EVG I 103/06 vom 6. November 2006 E. 4.1).</w:t>
      </w:r>
    </w:p>
    <w:p>
      <w:r>
        <w:rPr>
          <w:b/>
        </w:rPr>
        <w:t>E. 8.2</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8C_817/2013 vom 28. Mai 2014 E. 5.1, 9C_986/2009 vom 11. November 2010 E. 7.2 und 9C_631/2009 vom 2. Dezember 2009 E. 5.1.2 mit Hinweisen).</w:t>
      </w:r>
    </w:p>
    <w:p>
      <w:r>
        <w:rPr>
          <w:b/>
        </w:rPr>
        <w:t>E. 8.3</w:t>
      </w:r>
    </w:p>
    <w:p>
      <w:r>
        <w:t>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Ebenso muss der Bericht plausibel, begründet und angemessen detailliert bezüglich der einzelnen Einschränkungen sein (vgl. Urteil des BGer 8C_817/2013 vom 28. Mai 2014 E. 5.1 sowie BGE 130 V 97 mit Hinweis).</w:t>
      </w:r>
    </w:p>
    <w:p>
      <w:r>
        <w:rPr>
          <w:b/>
        </w:rPr>
        <w:t>E. 8.4</w:t>
      </w:r>
    </w:p>
    <w:p>
      <w:r>
        <w:t>Es ist denkbar, dass bei Wohnsitz des Versicherten im Ausland auf eine Haushaltsabklärung im oben dargelegten Sinne ausnahmsweise verzichtet werden kann (vgl. E. 8.1). Der Abklärungsbericht muss dann aber eine fachmedizinische Evaluation der Fähigkeiten der Versicherten, ihre gewohnten Aufgaben zu erfüllen, enthalten. Eine solche Evaluation wird mit Hilfe eines Arztes durchgeführt, wobei eine detaillierte und eingehende Betrachtung der Einschränkungen der Versicherten nach deren Anhörung durch den Arzt notwendig ist (vgl. Urteil des BGer I 733/06 vom 16. Juli 2007 E. 4.2.2).</w:t>
      </w:r>
    </w:p>
    <w:p>
      <w:r>
        <w:rPr>
          <w:b/>
        </w:rPr>
        <w:t>E. 9</w:t>
      </w:r>
    </w:p>
    <w:p>
      <w:r>
        <w:t>Die Überprüfung der von der Vorinstanz festgestellten gesundheitsbedingten Beeinträchtigung der Beschwerdeführerin in ihrem Aufgabenbereich Haushalt ergibt eine eindeutig ungenügende Entscheidgrundlage.</w:t>
      </w:r>
    </w:p>
    <w:p>
      <w:r>
        <w:rPr>
          <w:b/>
        </w:rPr>
        <w:t>E. 9.1</w:t>
      </w:r>
    </w:p>
    <w:p>
      <w:r>
        <w:t>Eine Abklärung vor Ort durch eine qualifizierte Person fand vorliegend nicht statt. Vielmehr hat IV-Ärztin Dr. med. B._______ den Invaliditätsgrad der Beschwerdeführerin aufgrund der Aktenlage festgelegt, wobei sie die gesundheitlich bedingten Einschränkungen in den einzelnen (gewichteten) Teilbereichen der Haushaltführung lediglich für den Zeitraum April 2009 bis Januar 2010 tabellarisch festhielt (IV-act. 59-5). Diesbezüglich ist festzuhalten, dass für das Gericht nicht ersichtlich ist, auf welchen sachverhaltlichen Grundlagen und Würdigungen sich die festgehaltenen Einschränkungsgrade hinsichtlich der einzelnen Haushaltstätigkeiten stützen. Mithin fehlt es an einer substantiierten Begründung der nach Ansicht von Dr. med. B._______ bestehenden Einschränkungen. Insbesondere ist auch nicht erkennbar, inwieweit sich Dr. med. B._______ überhaupt mit den von der Beschwerdeführerin im Fragebogen für die im Haushalt tätigen Versicherten vom 28. Mai 2011 (act. 18-1 ff.) geltend gemachten Einschränkungen auseinandergesetzt hätte. Soweit die IV-Ärztin den Invaliditätsgrad der Beschwerdeführerin sodann ab Januar 2010 ohne Vornahme eines Betätigungsvergleichs mit 40 % bezifferte, fehlt es bereits aus diesem Grund an einer plausiblen, detaillierten und nachvollziehbaren Entscheidgrundlage.</w:t>
      </w:r>
    </w:p>
    <w:p>
      <w:r>
        <w:rPr>
          <w:b/>
        </w:rPr>
        <w:t>E. 9.2</w:t>
      </w:r>
    </w:p>
    <w:p>
      <w:r>
        <w:t>Überdies fällt ins Gewicht, dass die vorgenannten Stellungnahmen von Dr. med. B._______ als Berichte Sinn von Art. 59 Abs. 2bis IVG zu qualifizieren, in denen nicht selber medizinische Befunde erhoben, sondern vorhandene Befunde aus medizinischer Sicht gewürdigt werden. Solchen Berichten kann nicht jegliche Aussen- oder Beweiswirkung abgesprochen werden. Sie sind vielmehr entscheidrelevante Aktenstücke (Ulrich Meyer/Marco Reichmuth, Rechtsprechung des Bundesgerichts zum IVG, 3. Aufl., Zürich 2014, Art. 59, Rz. 3).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Enthalten die Akten für die streitigen Belange keine beweistauglichen Unterlagen, kann eine interne ärztliche Stellungnahme keine abschliessende Beurteilungsgrundlage bilden, sondern nur zu weitergehenden Abklärungen Anlass geben. Mithin hat sich ein Aktengutachten auf beweiskräftige Arztberichte abzustützen (vgl. Urteil des BGer 9C_58/2011 vom 25. März 2011 E. 3.3).</w:t>
      </w:r>
    </w:p>
    <w:p>
      <w:r>
        <w:rPr>
          <w:b/>
        </w:rPr>
        <w:t>E. 9.3</w:t>
      </w:r>
    </w:p>
    <w:p>
      <w:r>
        <w:t>Die im massgebenden Beurteilungszeitpunkt des Erlasses der angefochtenen Verfügung (30. Juli 2012) vorhandenen medizinischen Akten der behandelnden kroatischen Ärzte erfüllen die Anforderungen an beweistaugliche Unterlagen offensichtlich nicht (vgl. act. 42 ff., 69 f.). Insbesondere enthalten weder die somatischen noch psychiatrischen Berichte Schlussfolgerungen hinsichtlich der durch die erhobenen Befunde und Diagnosen resultierenden funktionellen Einschätzungen. Hinzu kommt, dass es sich bei den psychiatrischen Berichten (act. 49, 54) um knappe Berichte bzw. Formularberichte handelt. Solch knappe Berichte reichen allenfalls, wenn sie - im Sinn einer Verlaufsbeurteilung - eine auf klarem Fundament beruhende frühere Einschätzung bestätigen oder wenn die gestellten Diagnosen keine weiteren Fragen aufwerfen, insbesondere keine Abschätzung der funktionellen Folgen notwendig machen (vgl. Urteil des BGer 9C_952/2011 vom 7. November 2012 E. 2.3), was hier jedoch nicht der Fall ist.</w:t>
      </w:r>
    </w:p>
    <w:p>
      <w:r>
        <w:rPr>
          <w:b/>
        </w:rPr>
        <w:t>E. 9.4</w:t>
      </w:r>
    </w:p>
    <w:p>
      <w:r>
        <w:t>Des Weiteren ist festzuhalten, dass es beim Zusammentreffen verschiedener Gesundheitsbeeinträchtigungen - wie vorliegend insbesondere psychiatrischer, onkologischer und internistischer Leiden - nicht gerechtfertigt ist, die psychischen und somatischen Befunde isoliert abzuklären. Vielmehr ist eine interdisziplinäre Untersuchung durchzuführen (vgl. Urteil des BGer 8C_168/2008 vom 11. August 2008 E. 6.2.2) und der Grad der Leistungsfähigkeit jeweils aufgrund einer sämtliche Behinderungen umfassenden fachärztlichen Gesamtbeurteilung zu bestimmen (vgl. Urteil des EVG I 850/02 vom 3. März 2003 E. 6.4.1). Keiner der aktenkundigen fachärztlichen Berichte beinhaltet eine in diesem Sinn zuverlässige bzw. schlüssig und nachvollziehbar begründete Gesamtbeurteilung.</w:t>
      </w:r>
    </w:p>
    <w:p>
      <w:r>
        <w:rPr>
          <w:b/>
        </w:rPr>
        <w:t>E. 9.5</w:t>
      </w:r>
    </w:p>
    <w:p>
      <w:r>
        <w:t>Zusammenfassend ist festzustellen, dass weder die medizinischen Berichte bzw. vorinstanzlichen ärztlichen Stellungnahmen noch die Abklärung der Einschränkungen im Haushalt den Anforderungen der Rechtsprechung genügen. Insofern kann nicht mit dem Beweisgrad der überwiegenden Wahrscheinlichkeit beurteilt werden, in welchem Umfang die Beschwerdeführerin aufgrund der infolge der Krebserkrankung aufgetretenen somatischen und psychischen Beschwerden im Aufgabenbereich Haushalt eingeschränkt ist.</w:t>
      </w:r>
    </w:p>
    <w:p>
      <w:r>
        <w:rPr>
          <w:b/>
        </w:rPr>
        <w:t>E. 9.6</w:t>
      </w:r>
    </w:p>
    <w:p>
      <w:r>
        <w:t>Ebenso wenig kann auf die im Rahmen des Beschwerdeverfahrens eingeholten Stellungnahmen von RAD-Arzt Dr. med. C._______ , Facharzt Allgemeine Medizin, vom 21. Oktober 2013 (BVGer act 11, Beilage) und 6. Oktober 2014 (BVGer act. 27, Beilage) bzw. die Stellungnahme von Dr. med. D._______, Facharzt Psychiatrie und Psychotherapie, vom 17. Oktober 2014 (act. BVGer act. 27, Beilage) abgestellt werden. Diese Aktenberichte vermögen einen Abklärungsbericht im Sinn einer fachmedizinischen Evaluation der Fähigkeiten der Versicherten, ihre gewohnten Aufgaben zu erfüllen (vgl. vorstehende E. 8.4), nicht zu ersetzten. Zudem standen - wie es bereits bei IV-Ärztin Dr. med. B._______ der Fall war - auch den beiden RAD-Ärzten keine beweistauglichen medizinischen Berichte im Sinn der Rechtsprechung zur Verfügung. Des Weiteren fällt auf, dass sich die Stellungnahmen im Wesentlichen auf nach Erlass der angefochtenen Verfügung vom 30. Juli 2012 verfasste Arztberichte beziehen.</w:t>
      </w:r>
    </w:p>
    <w:p>
      <w:r>
        <w:rPr>
          <w:b/>
        </w:rPr>
        <w:t>E. 10.1</w:t>
      </w:r>
    </w:p>
    <w:p>
      <w:r>
        <w:t>Nach dem Gesagten ist festzuhalten, dass eine zuverlässige Einschätzung, in welchem Mass und in welchen Tätigkeiten des Haushalts die Beschwerdeführerin Einschränkungen unterliegt, aufgrund der bestehenden Aktenlage nicht möglich ist. Die Beeinträchtigungen der Beschwerdeführerin im Haushalt wurden in Anbetracht der konkreten Umstände seitens der Vorinstanz nicht rechtskonform abgeklärt (Art. 43 ff. ATSG und Art. 12 und Art. 49 Bst. b VwVG), sodass die Verfügung vom 30. Juli 2012 aufzuheben ist.</w:t>
      </w:r>
    </w:p>
    <w:p>
      <w:r>
        <w:rPr>
          <w:b/>
        </w:rPr>
        <w:t>E. 10.2</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10.3</w:t>
      </w:r>
    </w:p>
    <w:p>
      <w:r>
        <w:t>Hier liegt indessen nicht ein vom Bundesverwaltungsgericht zu würdigendes Administrativgutachten im Recht. Vielmehr war die Zulässigkeit eines Aktenberichts durch den IV-ärztlichen Dienst bzw. den RAD zu beurteilen. Wie sich vorstehend gezeigt hat, konnte weder der eine noch der andere auf für die streitigen Belange beweistaugliche Unterlagen im Sinn der Rechtsprechung zurückgreifen. Eine Aktenbeurteilung war unter diesen Umständen offensichtlich unzulässig, was zwangsläufig zur weiteren Sachverhaltsabklärungen hätte führen müssen, wobei dabei insbesondere auch die rechtsgenügliche Abklärung der Einschränkung der Beschwerdeführerin im Haushalt ins Auge zu fassen gewesen wäre.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nur eine sehr rudimentäre Beurteilung des Gesundheitszustands der Beschwerdegegnerin erfolgen konnte - mithin ihr Gesundheitszustand als nahezu ungeklärt zu betrachten ist, ist die Angelegenheit zu weiteren Abklärungen an die Vorinstanz zurückzuweisen, mit der Anweisung, einen rechtskonformen Abklärungsbericht im Haushalt respektive eine fachmedizinische Evaluation der Fähigkeiten der Beschwerdeführerin, ihre gewohnten Aufgaben zu erfüllen, einzuholen und gestützt darauf den Invaliditätsgrad zu berechnen.</w:t>
      </w:r>
    </w:p>
    <w:p>
      <w:r>
        <w:rPr>
          <w:b/>
        </w:rPr>
        <w:t>E. 10.4</w:t>
      </w:r>
    </w:p>
    <w:p>
      <w:r>
        <w:t>Die Beschwerde vom 4. September 2012 ist daher insoweit gutzuheis-sen, als die angefochtenen Verfügungen vom 30. Juli 2012 aufgehoben und die Sache an die Vorinstanz zurückgewiesen wird, damit diese, nach erfolgten Abklärungen der rechtserheblichen Tatsachen im Sinne der Erwägungen, neu verfüge. Anzufügen ist, dass die Aufhebung der Verfügung vom 30. Juli 2012 und Rückweisung der Sache zu weiterer Abklärung und anschliessendem Neuentscheid nicht zu einem Anwendungsfall der Rechtsprechung nach BGE 137 V 314 (Gelegenheit des Beschwerderückzugs, wenn mit einem Rückweisungsentscheid eine rentenzusprechende Verfügung aufgehoben wird) führt, da aufgrund des nach wie vor anwendbaren Sozialversicherungsabkommen bei dem in der aufzuhebenden Verfügung festgestellten Invaliditätsgrad von 40 % nach Art. 29 Abs. 4 IVG weder im Zeitpunkt des Verfügungserlasses ein Rentenanspruch entstehen konnte bzw. ein solcher auch heute nicht entstehen kann.</w:t>
      </w:r>
    </w:p>
    <w:p>
      <w:r>
        <w:rPr>
          <w:b/>
        </w:rPr>
        <w:t>E. 10.5</w:t>
      </w:r>
    </w:p>
    <w:p>
      <w:r>
        <w:t>Bei diesem Verfahrensausgang ist die Verfügung vom 14. Mai 2013, womit die Vorinstanz auf die Neuanmeldung zum Leistungsbezug nicht eingetreten ist, ersatzlos aufzuheben (vgl. vorstehende E. 5) und die Beschwerde vom 12. Juni 2013 in diesem Sinn gutgeheissen.</w:t>
      </w:r>
    </w:p>
    <w:p>
      <w:r>
        <w:rPr>
          <w:b/>
        </w:rPr>
        <w:t>E. 11</w:t>
      </w:r>
    </w:p>
    <w:p>
      <w:r>
        <w:t>Zu befinden bleibt noch über die Verfahrenskosten und eine allfällige Parteientschädigung.</w:t>
      </w:r>
    </w:p>
    <w:p>
      <w:r>
        <w:rPr>
          <w:b/>
        </w:rPr>
        <w:t>E. 11.1</w:t>
      </w:r>
    </w:p>
    <w:p>
      <w:r>
        <w:t>Gemäss Art. 63 Abs. 1 VwVG sind die Verfahrenskosten in der Regel der unterliegenden Partei aufzuerlegen. Die Rückweisung gilt praxisgemäss als Obsiegen der beschwerdeführenden Partei. Der unterliegenden Vorinstanz werden jedoch keine Verfahrenskosten auferlegt (Art. 63 Abs. 2 VwVG).</w:t>
      </w:r>
    </w:p>
    <w:p>
      <w:r>
        <w:rPr>
          <w:b/>
        </w:rPr>
        <w:t>E. 11.2</w:t>
      </w:r>
    </w:p>
    <w:p>
      <w:r>
        <w:t>Gemäss Art. 64 Abs. 1 VwVG kann die Beschwerdeinstanz der ganz oder teilweise obsiegenden Partei von Amtes wegen oder auf Begehren eine Entschädigung für ihr erwachsene notwendige und verhältnismässig hohe Kosten zusprechen.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11.3</w:t>
      </w:r>
    </w:p>
    <w:p>
      <w:r>
        <w:t>Der Rechtsvertreter der Beschwerdeführerin hat mit der zweiten Replik vom 8. September 2014 eine Honorarnote für den bis dahin angefallenen Aufwand in der Höhe von Fr. 3'238.55 (15.57 Stunden à Fr. 200.-, zuzüglich 4 % Barauslagen in der Höhe von Fr. 124.55) eingereicht (BVGer act. 21, Beilage). Aus der Honorarnote wird ersichtlich, dass 3.78 Stunden des geltend gemachten Aufwands das Vorbescheidverfahren (Aufwand vom 21. Januar 2013 bis 3. Mai 2013) betrifft und daher nicht im Rahmen der Parteientschädigung des Beschwerdeverfahrens geltend gemacht werden kann. Für den weiteren Aufwand bis zum Abschluss des Schriftenwechsels am 16. Oktober 2015 hat der Beschwerdeführer keine Honorarnote eingereicht, sodass das Gericht die diesbezügliche Entschädigung aufgrund der Akten festsetzt (Art. 14 Abs. 2 Satz 2 VGKE). Unter Berücksichtigung des gebotenen und aktenkundigen Aufwands sowie einer angemessenen Zeit für die Besprechung des Urteils mit der Beschwerdeführerin (vgl. Urteil des BGer 9C_987/2012 vom 26. September 2012 E. 4), erscheint ein weiterer Aufwand von 1 Stunde gerechtfertigt. Die Parteientschädigung ist somit total auf Fr. 2'660.30.- (12.79 Stunden x Fr. 200.-; zuzüglich 4 % Barauslagen in der Höhe von Fr. 102.32, exklusiv Mehrwertsteuer, die aufgrund des Wohnsitzes der Beschwerdeführerin im Ausland nicht geschuldet ist [vgl. vorstehende E. 11.2]).</w:t>
      </w:r>
    </w:p>
    <w:p>
      <w:r>
        <w:rPr>
          <w:b/>
        </w:rPr>
        <w:t>E. 11.4</w:t>
      </w:r>
    </w:p>
    <w:p>
      <w:r>
        <w:t>Die mit Zwischenverfügung 29. August 2013 bewilligte unentgeltliche Rechtspflege wird damit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