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C-3350/2010 vom 27. August 2010</w:t>
      </w:r>
    </w:p>
    <w:p>
      <w:r>
        <w:t>Bundesverwaltungsgericht, 2010-08-27, IT</w:t>
      </w:r>
    </w:p>
    <w:p>
      <w:r>
        <w:rPr>
          <w:b/>
        </w:rPr>
        <w:t xml:space="preserve">Quelle: </w:t>
      </w:r>
      <w:r>
        <w:t>https://mcp.opencaselaw.ch/entscheid/bvger_C-3350_2010</w:t>
      </w:r>
    </w:p>
    <w:p>
      <w:r>
        <w:t>FR: TAF C-3350/2010 du 27 août 2010</w:t>
      </w:r>
    </w:p>
    <w:p>
      <w:r>
        <w:t>IT: TAF C-3350/2010 del 27 agosto 2010</w:t>
      </w:r>
    </w:p>
    <w:p>
      <w:pPr>
        <w:pStyle w:val="Heading2"/>
      </w:pPr>
      <w:r>
        <w:t>Regeste</w:t>
      </w:r>
    </w:p>
    <w:p>
      <w:r>
        <w:t>Rendite</w:t>
      </w:r>
    </w:p>
    <w:p>
      <w:pPr>
        <w:pStyle w:val="Heading2"/>
      </w:pPr>
      <w:r>
        <w:t>Erwägungen</w:t>
      </w:r>
    </w:p>
    <w:p>
      <w:r>
        <w:rPr>
          <w:b/>
        </w:rPr>
        <w:t>E. 1</w:t>
      </w:r>
    </w:p>
    <w:p>
      <w:r>
        <w:t>In virtù dell'art. 31 della legge del 17 giugno 2005 sul Tribunale amministrativo federale (LTAF, RS 173.32),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CSC concernenti l'assicurazione per la vecchiaia e per i superstiti possono essere portate innanzi al TAF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w:t>
      </w:r>
    </w:p>
    <w:p>
      <w:r>
        <w:t>Giusta l'art. 23 cpv. 1 LAVS, le vedove ed i vedovi hanno diritto ad una rendita se, alla morte del coniuge, hanno figli. Il cpv. 2 della stessa norma stabilisce che sono equiparati ai figli di vedove o vedovi: (a) i figli del coniuge deceduto che, alla sua morte, vivevano in economia domestica comune con la vedova o il vedovo, in qualità di figli elettivi a lei o a lui affiliati, giusta l'art. 25 cpv. 3; (b) gli affiliati, giusta l'art. 25 cpv. 3 che, alla morte del coniuge, vivevano in economia domestica comune con la vedova o il vedovo e sono da lei o da lui adottati. Secondo l'art. 24 LAVS (disposizioni particolari), le vedove hanno inoltre diritto ad una rendita per vedove, se al momento della morte del coniuge, non avendo figli o affiliati ai sensi dell'art. 23, hanno compiuto i 45 anni e sono state sposate per almeno 5 anni. Se una vedova si è sposata più volte si tiene conto, ai fini del computo, della durata complessiva dei diversi matrimoni. Va inoltre rilevato che il diritto svizzero in materia di vecchiaia e superstiti non prevede l'assimilazione della convivenza alla nozione di comunità coniugale da matrimonio civile e ciò anche se detta unione di fatto sia certificata da documenti ufficiali.</w:t>
      </w:r>
    </w:p>
    <w:p>
      <w:r>
        <w:rPr>
          <w:b/>
        </w:rPr>
        <w:t>E. 4</w:t>
      </w:r>
    </w:p>
    <w:p>
      <w:r>
        <w:t>Nel caso in esame è ben chiaro che l'interessata ha spostato B._______ il 29 novembre 2008 e che lo stesso è deceduto il 1° ottobre 2009. Ora, la vedova ha più di 45 anni, ma il matrimonio è durato meno dei 5 anni richiesti dalla legge per avere diritto a una rendita vedovile (art. 24 LAVS). Come scritto al considerando precedente, la convivenza non è equiparata a matrimonio, anche se detta unione di fatto è stata certificata da atto notarile. L'insorgente non può fare valere inoltre matrimoni precedenti. Dall'atto di matrimonio con B._______, A._______ risulta infatti come "solteira", ossia nubile. In secondo luogo (art. 23 LAVS), non risulta che avesse figli propri e/o affiliati. Inoltre, la figlia di B._______, nata nel 1980 e di età maggiore di 25 anni, non viveva verosimilmente in economia domestica con la vedova al momento del decesso. Facendo difetto le condizioni previste agli art. 23 e 24 LAVS, la ricorrente non può avere diritto ad una rendita vedovile. Il ricorso deve essere pertanto respinto e l'impugnata decisione confermata.</w:t>
      </w:r>
    </w:p>
    <w:p>
      <w:r>
        <w:rPr>
          <w:b/>
        </w:rPr>
        <w:t>E. 5.1</w:t>
      </w:r>
    </w:p>
    <w:p>
      <w:r>
        <w:t>Il ricorso, manifestamente infondato, può essere risolto da un giudice unico in applicazione dell'art. 85bis cpv. 3 LAVS.</w:t>
      </w:r>
    </w:p>
    <w:p>
      <w:r>
        <w:rPr>
          <w:b/>
        </w:rPr>
        <w:t>E. 5.2</w:t>
      </w:r>
    </w:p>
    <w:p>
      <w:r>
        <w:t>Non sono prelevate spese processuali né assegnate indennità per le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