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C-3348/2012 vom 20. März 2014</w:t>
      </w:r>
    </w:p>
    <w:p>
      <w:r>
        <w:t>Bundesverwaltungsgericht, 2014-03-20, DE</w:t>
      </w:r>
    </w:p>
    <w:p>
      <w:r>
        <w:rPr>
          <w:b/>
        </w:rPr>
        <w:t xml:space="preserve">Quelle: </w:t>
      </w:r>
      <w:r>
        <w:t>https://mcp.opencaselaw.ch/entscheid/bvger_C-3348_2012</w:t>
      </w:r>
    </w:p>
    <w:p>
      <w:r>
        <w:t>FR: TAF C-3348/2012 du 20 mars 2014</w:t>
      </w:r>
    </w:p>
    <w:p>
      <w:r>
        <w:t>IT: TAF C-3348/2012 del 20 marzo 2014</w:t>
      </w:r>
    </w:p>
    <w:p>
      <w:pPr>
        <w:pStyle w:val="Heading2"/>
      </w:pPr>
      <w:r>
        <w:t>Regeste</w:t>
      </w:r>
    </w:p>
    <w:p>
      <w:r>
        <w:t>Einreiseverbot</w:t>
      </w:r>
    </w:p>
    <w:p>
      <w:pPr>
        <w:pStyle w:val="Heading2"/>
      </w:pPr>
      <w:r>
        <w:t>Erwägungen</w:t>
      </w:r>
    </w:p>
    <w:p>
      <w:r>
        <w:rPr>
          <w:b/>
        </w:rPr>
        <w:t>E. 1.1</w:t>
      </w:r>
    </w:p>
    <w:p>
      <w:r>
        <w:t>Gemäss Art. 31 des Verwaltungsgerichtsgesetzes (VGG, SR 173.32) beurteilt das Bundesverwaltungsgericht Beschwerden ge­gen Verfügungen im Sinne von Art. 5 des Verwaltungsverfahrensgeset­zes (VwVG, SR 172.021), sofern keine Aus­nahme nach Art. 32 VGG vorliegt. Als Vorinstanzen gelten die in Art. 33 VGG genannten Behörden. Dazu gehört auch das Bundesamt,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Verwaltungsverfahrensgesetz,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Angele­genheit endgültig (Art. 83 Bst. c Ziff. 1 des Bundesgerichtsgeset­zes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w:t>
      </w:r>
    </w:p>
    <w:p>
      <w:r>
        <w:rPr>
          <w:b/>
        </w:rPr>
        <w:t>E. 3.1</w:t>
      </w:r>
    </w:p>
    <w:p>
      <w:r>
        <w:t>Das Bundesamt verfügt Einreiseverbote gegenüber weggewiesenen Ausländerinnen und Ausländern, wenn die Wegweisung nach Art. 64d Abs. 2 Bst. a-c des Ausländergesetzes (AuG, SR 142.20)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3.2</w:t>
      </w:r>
    </w:p>
    <w:p>
      <w:r>
        <w:t>Das Einreiseverbot ist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Die Verhängung eines Einreise­verbots knüpft an das Bestehen eines Risikos einer künftigen Ge­fährdung an. Gestützt auf die Umstände des Einzelfalls ist jeweils eine Prog­nose zu stellen. Dabei ist naturgemäss in erster Linie das vergan­gene Verhalten der betroffenen Person zu berücksichtigen, zumal ein ver­gangenes deliktisches Verhalten geeignet ist, einen Hinweis auf eine allfäl­lige Gefährdung zu liefern. Aus diesem Grund verknüpft Art. 67 Abs. 2 Bst. a AuG die Verhängung einer Fernhaltemassnahme unter anderem mit einem (bereits erfolgten) Verstoss gegen die fraglichen Polizeigüter. Art. 80 Abs. 1 der Verordnung vom 24. Oktober 2007 über Zulassung, Auf­enthalt und Erwerbstätigkeit (VZAE, SR 142.201) konkretisiert, wie der Begriff des «Verstosses» nach Art. 67 Abs. 2 Bst. a AuG zu verstehen ist; so hält er fest, dass u.a. eine Missachtung gesetzlicher Vorschriften und be­hördlicher Verfügungen dazu zählt (vgl. Urteil des BVGer C-4489/2013 vom 23. Januar 2014 E. 5.2 mit Hinweisen).</w:t>
      </w:r>
    </w:p>
    <w:p>
      <w:r>
        <w:rPr>
          <w:b/>
        </w:rPr>
        <w:t>E. 3.3</w:t>
      </w:r>
    </w:p>
    <w:p>
      <w:r>
        <w:t>Einen Verstoss gegen die öffentliche Sicherheit und Ordnung im Sinne von Art. 67 Abs. 2 Bst. a AuG begeht u.a. auch, wer Normen des Ausländerrechts zuwiderhandelt. Dabei genügt es, wenn der ausländi­schen Person eine Sorgfaltspflichtverletzung zugerechnet werden kann. Un­kenntnis oder Fehlinterpretation der Einreise- und Aufenthaltsvorschrif­ten stellen normalerweise keinen hinreichenden Grund für ein Absehen von einer Fernhaltemassnahme dar. Jeder Ausländerin und jedem Auslän­der obliegt es, sich über bestehende Rechte und Pflichten im Zusam­menhang mit ausländerrechtlichen Vorschriften ins Bild zu setzen und sich im Falle von Unklarheiten bei der zuständigen Stelle zu informie­ren (vgl. C-4489/2013 E. 6.1 mit Hin­weis).</w:t>
      </w:r>
    </w:p>
    <w:p>
      <w:r>
        <w:rPr>
          <w:b/>
        </w:rPr>
        <w:t>E. 4.1</w:t>
      </w:r>
    </w:p>
    <w:p>
      <w:r>
        <w:t>Die Vorinstanz begründet ihre Verfügung damit, dass der Beschwerde­führer durch die zuständige Behörde aus der Schweiz wegge­wiesen werden musste und er der ihm angesetzten Frist nicht nachgekommen ist. Sie begnügt sich hierbei mit einem allgemeinen Hinweis auf Art. 67 AuG, beruft sich aber implizit auf die Fernhaltegründe von Art. 67 Abs. 1 Bst. b und Art. 67 Abs. 2 Bst. a AuG.</w:t>
      </w:r>
    </w:p>
    <w:p>
      <w:r>
        <w:rPr>
          <w:b/>
        </w:rPr>
        <w:t>E. 4.2</w:t>
      </w:r>
    </w:p>
    <w:p>
      <w:r>
        <w:t>Im vorliegenden Fall ist unbestritten, dass der Beschwerdeführer rechts­kräftig aus der Schweiz weggewiesen wurde und er dieser Anord­nung innerhalb der angesetzten Frist keine Folge geleistet hat (vgl. Sachver­halt Bst. B). Bereits aus diesem Grund ist gestützt auf Art. 67 Abs. 1 Bst. b AuG ein Einreiseverbot auszusprechen. Der Beschwerdefüh­rer wurde weiter noch vor Erlass des Einreiseverbots we­gen Widerhandlung im Sinne von Art. 115 Abs. 1 Bst. a AuG (rechtswidrige Ein­reise) und Art. 115 Abs. 1 Bst. b AuG (rechtswidriger Aufenthalt) be­straft (vgl. Sachverhalt Bst. C). Durch die Missachtung ausländer­rechtlicher Einreise- und Aufenthaltsbestimmungen hat er ge­gen die öffentliche Ordnung verstossen (vgl. E. 3.3). Dass er weiterhin nicht gewillt war, die Schweizer Rechtsordnung zu beachten, zeigt sich daran, dass er sich weiterhin rechtswidrig in der Schweiz aufgehalten hat und dafür ein weiteres Mal bestraft wurde (vgl. Sachverhalt Bst. F). Das Ein­reiseverbot konnte deshalb auch gestützt auf Art. 67 Abs. 2 Bst. a AuG erlassen werden.</w:t>
      </w:r>
    </w:p>
    <w:p>
      <w:r>
        <w:rPr>
          <w:b/>
        </w:rPr>
        <w:t>E. 4.3</w:t>
      </w:r>
    </w:p>
    <w:p>
      <w:r>
        <w:t>Der Beschwerdeführer bestreitet das Vorliegen dieser Fernhaltegründe nicht. Er bringt einzig vor, dass ein Familiennachzug bevorstehe, der nicht erschwert werden dürfe. Diesbezüglich ist er jedoch darauf hinzuweisen, dass eine allfällige neue Bewilligung im Rahmen des Familiennachzugs nicht Gegenstand dieses Verfahrens ist. Hierfür ist der Kanton zuständig, wobei das in Kraft stehende Einreiseverbot einer möglichen künftigen Bewilligungserteilung grundsätzlich nicht entgegensteht. Mit einer Heirat und der Bereitschaft eines Kantons zur Aufenthaltsregelung würde ein Wiedererwägungsgrund geschaffen (vgl. BVGE 2013/4 E. 7.4.1 in fine; fer­ner bereits Zwischenverfügung vom 4. Juli 2012 E. 4 mit Hinweis).</w:t>
      </w:r>
    </w:p>
    <w:p>
      <w:r>
        <w:rPr>
          <w:b/>
        </w:rPr>
        <w:t>E. 4.4</w:t>
      </w:r>
    </w:p>
    <w:p>
      <w:r>
        <w:t>Nach dem Gesagten hat der Beschwerdeführer klarerweise hinreichen­den Anlass für die Verhängung eines Einreiseverbots gegeben.</w:t>
      </w:r>
    </w:p>
    <w:p>
      <w:r>
        <w:rPr>
          <w:b/>
        </w:rPr>
        <w:t>E. 5.1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Häfelin/Georg Müller/Felix Uhlmann, Allgemeines Verwaltungsrecht, 6. Aufl., 2010, Rz. 613 ff.).</w:t>
      </w:r>
    </w:p>
    <w:p>
      <w:r>
        <w:rPr>
          <w:b/>
        </w:rPr>
        <w:t>E. 5.2</w:t>
      </w:r>
    </w:p>
    <w:p>
      <w:r>
        <w:t>Aus der illegalen Anwesenheit des Beschwerdeführers wird auf eine Gefährdung der öffentlichen Sicherheit und Ordnung geschlossen (vgl. E. 3.2 und E. 4.2). An der Einhaltung der Rechtsordnung im Allgemeinen und der Vorschriften über Einreise, Aufenthalt und Erwerbstätigkeit im Be­sonderen besteht ein gewichtiges öffentliches Interesse. Das Fehlverhal­ten des Beschwerdeführers wiegt aber auch, was die subjektive Seite be­trifft, nicht leicht. Er hat die Schweiz trotz behördlich verfügter Wegwei­sung nicht verlassen und sich danach während mehr als sieben Monaten il­legal im Land aufgehalten. Er hat sich diesbezüglich bewusst über die Rechtsordnung hinweggesetzt. Erschwerend kommt hinzu, dass die ille­gale Anwesenheit auch dann noch angedauert hat, nachdem er bereits we­gen illegaler Einreise und illegalem Aufenthalt bestraft worden war (vgl. Sachverhalt Bst. C). Als gewichtig zu betrachten ist vorliegend einerseits das generalpräventiv motivierte Interesse, die öffentliche Ordnung durch eine konsequente Massnahmenpraxis zu schützen. Andererseits liegt eine spezialpräventive Zielsetzung der Fernhaltemassnahme darin, dass sie den Beschwerdeführer ermahnt, bei einer allfälligen künftigen Wiederein­reise in die Schweiz nach Ablauf der Dauer des Einreiseverbots die für ihn geltenden Regeln einzuhalten (vgl. zum ganzen Urteil des BVGer C-1088/2013 vom 23. Oktober 2013 E. 7.2).</w:t>
      </w:r>
    </w:p>
    <w:p>
      <w:r>
        <w:rPr>
          <w:b/>
        </w:rPr>
        <w:t>E. 5.3</w:t>
      </w:r>
    </w:p>
    <w:p>
      <w:r>
        <w:t>An privaten Interessen bringt der Beschwerdeführer vor, er sei in der Schweiz verlobt. Mit grosser Wahrscheinlichkeit gebe es einen Familien­nachzug. Das Einreiseverbot stelle für diesen ein Hindernis dar, weshalb dessen Aufhebung beantragt werde. Es wurde jedoch bereits fest­gehalten (vgl. E. 4.3), dass für die Prüfung allfälliger Familiennachzugs­gründe der Kanton zuständig wäre, und dass das beste­hende Einreiseverbot einem solchen grundsätzlich nicht entgegenste­hen würde. In diesem Zusammenhang ist allerdings darauf hin­zuweisen, dass der Familiennachzug voraussetzt, dass der Beschwerde­führer mit der in der Schweiz niedergelassenen Ausländerin eine Ehegemeinschaft eingegangen ist (vgl. Art. 43 AuG). Der Beschwerde­führer hat sich über den weiteren Verlauf der Beziehung nicht mehr vernehmen lassen (vgl. Sachverhalt Bst. G). Es ist deshalb davon aus­zugehen, dass er und seine Verlobte auch in der Zwischenzeit keine Ehe eingegangen sind. Die Akten enthalten im Übrigen Hinweise darauf, dass der Beschwerdeführer eine Zweckehe eingehen wollte (vgl. ZH act. 5 S. 5 sowie Art. 97a des Schweizerischen Zivilgesetzbuches [ZGB, SR 210]). Er gab denn auch während polizeilicher Befragungen wiederholt an, während seines illegalen Aufenthalts bei sei­ner Tante in Zürich gewohnt zu haben (vgl. ZH act. 31 S. 57 und act. 51 S. 108). Die Behauptung, es werde mit grosser Wahrscheinlichkeit einen Familiennachzug geben, erscheint demnach weder substantiiert noch glaub­haft.</w:t>
      </w:r>
    </w:p>
    <w:p>
      <w:r>
        <w:rPr>
          <w:b/>
        </w:rPr>
        <w:t>E. 5.4</w:t>
      </w:r>
    </w:p>
    <w:p>
      <w:r>
        <w:t>Das öffentliche Interesse an der verfügten Fernhaltemassnahme überwiegt insgesamt die geltend gemachten privaten Interessen des Beschwerdeführers. Angesichts der relativ langen Dauer des illegalen Aufenthalts von über sieben Monaten ist das Einreise­verbot von drei Jahren verhältnismässig und angemessen.</w:t>
      </w:r>
    </w:p>
    <w:p>
      <w:r>
        <w:rPr>
          <w:b/>
        </w:rPr>
        <w:t>E. 6</w:t>
      </w:r>
    </w:p>
    <w:p>
      <w:r>
        <w:t>Aus diesen Erwägungen ergibt sich, dass die angefochtene Verfügung im Lichte von Art. 49 VwVG nicht zu beanstanden ist. Die Beschwerde ist so­mit abzuweisen. (Dispositiv folgt auf nächster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