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C-3348/2009 vom 16. November 2010</w:t>
      </w:r>
    </w:p>
    <w:p>
      <w:r>
        <w:t>Bundesverwaltungsgericht, 2010-11-16, DE</w:t>
      </w:r>
    </w:p>
    <w:p>
      <w:r>
        <w:rPr>
          <w:b/>
        </w:rPr>
        <w:t xml:space="preserve">Quelle: </w:t>
      </w:r>
      <w:r>
        <w:t>https://mcp.opencaselaw.ch/entscheid/bvger_C-3348_2009</w:t>
      </w:r>
    </w:p>
    <w:p>
      <w:r>
        <w:t>FR: TAF C-3348/2009 du 16 novembre 2010</w:t>
      </w:r>
    </w:p>
    <w:p>
      <w:r>
        <w:t>IT: TAF C-3348/2009 del 16 novembre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Ägypten zu diesen Staaten zählt, unterliegt der Gesuchsteller der Visumpflicht.</w:t>
      </w:r>
    </w:p>
    <w:p>
      <w:r>
        <w:rPr>
          <w:b/>
        </w:rPr>
        <w:t>E. 8</w:t>
      </w:r>
    </w:p>
    <w:p>
      <w:r>
        <w:t>Geht es um die Frage nach dem Aufenthaltszweck und damit auch um das Kriterium der gesicherten Wiederausreise, so muss ein zukünftiges Verhalten beurteilt werden. Hierzu sind lediglich Prognosen möglich, wobei jedoch sämtliche Umstände des konkreten Einzelfalles zu würdigen sind. Dabei fällt unter anderem die allgemeine Situation im Herkunftsland in Betracht.</w:t>
      </w:r>
    </w:p>
    <w:p>
      <w:r>
        <w:rPr>
          <w:b/>
        </w:rPr>
        <w:t>E. 8.1</w:t>
      </w:r>
    </w:p>
    <w:p>
      <w:r>
        <w:t>Ägypten scheint die Auswirkungen der Weltwirtschaftskrise bereits weitgehend überstanden zu haben. So stiegen die Werte für das Wirtschaftswachstum seit Anfang 2009 wieder kontinuierlich an und lagen am Jahresende bei 5,1 Prozent. Haupteinnahmequellen des Landes sind - in dieser Reihenfolge - die Förderung und der Export von Erdöl und Erdgas, der Tourismus, die Rücküberweisungen der ägyptischen Arbeitnehmer im Ausland sowie die Einnahmen aus dem Suez-Kanal. Die an dritter Stelle stehenden Überweisungen von Auslandsägyptern machen rund vier Prozent des Bruttoinlandprodukts aus, wobei der aus Europa stammende Anteil im Haushaltsjahr 2008/2009 um 16 Prozent gestiegen ist. Letzteres deutet darauf hin, dass viele - insbesondere jüngere Menschen - versuchen, ins europäische Ausland zu gelangen, um sich unter günstigeren Lebensbedingungen eine bessere Existenz zu sichern. Verständlich wird dies daraus, dass die Konjunkturprogramme der Regierung bisher nicht den erhofften Beschäftigungseffekt hatten und dass der ägyptische Arbeitsmarkt - bei einer Arbeitslosenquote von 9,4 Prozent - jährlich bis zu 750'000 Schul- und Universitätsabgänger absorbieren muss (Quelle: Deutsches Auswärtiges Amt, &lt;http://www.auswaertiges-amt.de&gt; Länder, Reisen und Sicherheit &gt; Ägypten &gt; Wirtschaft, Stand: März 2010, besucht im November 2010). Der Trend zur Auswanderung zeigt sich erfahrungsgemäss dort besonders stark, wo durch die Anwesenheit von Verwandten oder Freunden bereits ein minimales Beziehungsnetz im Ausland besteht. Im Fall der Schweiz führt dies angesichts der restriktiven Zulassungsregelung nicht selten zur Umgehung ausländerrechtlicher Bestimmungen.</w:t>
      </w:r>
    </w:p>
    <w:p>
      <w:r>
        <w:rPr>
          <w:b/>
        </w:rPr>
        <w:t>E. 8.2</w:t>
      </w:r>
    </w:p>
    <w:p>
      <w:r>
        <w:t>Allein aufgrund der allgemeinen Lage im Herkunftsland darf jedoch nicht auf eine nicht hinreichend gesicherte Ausreise geschlossen werden. Die soeben dargelegten Umstände entbinden daher nicht von einer einzelfallbezogenen Beurteilung, wobei namentlich berufliche, gesellschaftliche oder familiäre Verpflichtungen die Prognose einer anstandslosen Wiederausreise begünstigen.</w:t>
      </w:r>
    </w:p>
    <w:p>
      <w:r>
        <w:rPr>
          <w:b/>
        </w:rPr>
        <w:t>E. 8.3</w:t>
      </w:r>
    </w:p>
    <w:p>
      <w:r>
        <w:t>Eigenen Angaben zufolge ist der 36-jährige Gesuchsteller ledig. Im Visumantrag hat er seine derzeitige berufliche Tätigkeit als technical supervisor at Salsabiel Company for Contracting bezeichnet, die Fragen zu seinem Arbeitgeber (Adresse/Telefonnummer) allerdings nicht beantwortet. Abweichend sind die Erklärungen des Gastgebers, der bereits anlässlich der kantonalen Erhebungen angab, sein Bruder sei Familienvater und Ministerialbeamter, und hieraus die Gewähr für dessen fristgerechte Wiederausreise ableitete (vgl. Eingabe an das Migrationsamt Zürich vom 21. März 2009).</w:t>
      </w:r>
    </w:p>
    <w:p>
      <w:r>
        <w:rPr>
          <w:b/>
        </w:rPr>
        <w:t>E. 8.3.1</w:t>
      </w:r>
    </w:p>
    <w:p>
      <w:r>
        <w:t>Die voneinander abweichenden Angaben zum Zivilstand versucht der Beschwerdeführer mit den mangelnden Englischkenntnissen seines Bruders zu erklären. Entspricht dies den Tatsachen, so stellt sich jedoch die Frage, warum dieser für seinen Visumantrag keine fremde Hilfe in Anspruch genommen hat; statt dessen hat er mehrere Rubriken des Formulars - z.B. die Fragen nach Arbeitgeber, nach Besuchsdauer und nach früheren Aufenthalten im Schengenraum - gar nicht oder - z.B. die Frage nach seiner Ehefrau - nicht sinnentsprechend beantwortet. Derartige Unsorgfältigkeiten sind schon deshalb nicht belanglos, weil ansonsten die Angaben zu einem Einreisegesuch unverbindlich wären und beliebige Korrekturen und Interpretationen zuliessen. Irrtümer sind zwar nicht auszuschliessen; hierfür müssten aber plausible Gründe genannt werden. Diesbezüglich ist im vorliegenden Fall das Vorbringen des Beschwerdeführers kritisch zu betrachten, versucht er doch, die eigenen Angaben seines Bruders und die in mehrfacher Hinsicht gegen dessen fristgerechte Wiederausreise sprechenden Aspekte in ein anderes Licht zu rücken.</w:t>
      </w:r>
    </w:p>
    <w:p>
      <w:r>
        <w:rPr>
          <w:b/>
        </w:rPr>
        <w:t>E. 8.3.2</w:t>
      </w:r>
    </w:p>
    <w:p>
      <w:r>
        <w:t>Seine abweichende Darstellung belegt der Beschwerdeführer mit zwei Schriftstücken in arabischer Sprache, denen er eine eigene Übersetzung beigefügt hat. Hiermit will er zum einen glaubhaft machen, sein Bruder sei Familienvater mit zwei Kindern, zum anderen, dieser sei als Ministerialbeamter für Bewässerungsprojekte tätig. Die angebliche Arbeitgeberbescheinigung attestiert dem Gesuchsteller eine bereits seit Februar 2001 bestehende Anstellung beim Staat, ein Umstand, der angesichts von dessen rund fünfmonatiger Europareise im Jahr 2003 jedoch wenig glaubhaft ist. Gleiches gilt auch deshalb, weil der Gesuchsteller in seinem Visumantrag ansonsten kaum eine andere Berufstätigkeit angeben hätte, die viel weniger auf seine finanzielle Absicherung und damit auch auf seine Rückkehrbereitschaft schliessen lässt. Bestehen somit Zweifel hinsichtlich der vom Beschwerdeführer behaupteten - und angeblich schriftlich belegten - Beamtenstellung seines Bruders, so kann auch nicht davon ausgegangen werden, dass die Bescheinigung über dessen Familiensituation den tatsächlichen Umständen entspricht.</w:t>
      </w:r>
    </w:p>
    <w:p>
      <w:r>
        <w:rPr>
          <w:b/>
        </w:rPr>
        <w:t>E. 8.4</w:t>
      </w:r>
    </w:p>
    <w:p>
      <w:r>
        <w:t>Dass sich der Gesuchsteller im Jahr 2003 lange Zeit in Europa aufgehalten hat, weist nicht nur darauf hin, dass er seinerzeit gar nicht im Beamtenverhältnis stand, sondern auch darauf, dass er damals gänzlich frei von sonstigen beruflichen und familiären Verpflichtungen war. Sein damaliger, an den Besuch in der Schweiz anschliessender illegaler Aufenthalt in Italien lässt befürchten, dass er auch diesmal seiner Verpflichtung zur fristgerechten Wiederausreise nicht nachkommen könnte bzw. mit dem hiesigen Besuch in der Schweiz andere Zwecke verfolgt. Dabei kann die Zusicherung des Beschwerdeführers, die heimatliche Rückkehr seines Bruders diesmal besser überwachen zu wollen, diese Befürchtung nicht zerstreuen; im Gegenteil, spricht doch diese Zusicherung eher dafür, dass beider Vorstellungen hinsichtlich des Einreisezwecks nicht unbedingt übereinstimmen. Ohnehin können Gastgeber lediglich für gewisse finanzielle Risiken im Zusammenhang mit einem Besuchsaufenthalt garantieren, nicht jedoch für ein bestimmtes Verhalten ihrer Gäste (vgl. BVGE 2009/27 E. 9).</w:t>
      </w:r>
    </w:p>
    <w:p>
      <w:r>
        <w:rPr>
          <w:b/>
        </w:rPr>
        <w:t>E. 9</w:t>
      </w:r>
    </w:p>
    <w:p>
      <w:r>
        <w:t>Die Vorinstanz durfte unter den gegebenen Umständen zu Recht davon ausgehen, dass die fristgerechte Wiederausreise des Gesuchstellers nicht gewährleistet sei. Zwar lässt sich diese Einschätzung nicht zu einer völlig gesicherten Feststellung verdichten, sie reicht aber aus, um die Erteilung einer Einreisebewilligung - auf welche, wie erwähnt, ohnehin kein Rechtsanspruch besteht - abzulehnen. Dass womöglich andere Familienangehörige des Beschwerdeführers ein Besuchervisum erhielten und die damit verbundene Pflicht zur Wiederausreise beachteten, spielt dabei keine Rolle, hat doch die jeweilige Risikoanalyse aufgrund der Beurteilung des konkreten Einzelfalls zu erfolgen.</w:t>
      </w:r>
    </w:p>
    <w:p>
      <w:r>
        <w:rPr>
          <w:b/>
        </w:rPr>
        <w:t>E. 10</w:t>
      </w:r>
    </w:p>
    <w:p>
      <w:r>
        <w:t>Die vorliegende Konstellation spricht auch nicht für eine Visumerteilung aus humanitären Gründen, ist doch keine dringende Notwendigkeit für einen Familienbesuch ersichtlich. Schliesslich hat der Beschwerdeführer auch - wie er selbst vorbringt - die Möglichkeit, seinen Bruder in Ägypten zu besuchen.</w:t>
      </w:r>
    </w:p>
    <w:p>
      <w:r>
        <w:rPr>
          <w:b/>
        </w:rPr>
        <w:t>E. 11</w:t>
      </w:r>
    </w:p>
    <w:p>
      <w:r>
        <w:t>Aus diesen Darlegungen folgt, dass die angefochtene Verfügung im Ergebnis rechtmässig ist (Art. 49 VwVG). Die Beschwerde ist demzufolge abzuweisen.</w:t>
      </w:r>
    </w:p>
    <w:p>
      <w:r>
        <w:rPr>
          <w:b/>
        </w:rPr>
        <w:t>E. 12</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