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C-3343/2009 vom 19. Januar 2010</w:t>
      </w:r>
    </w:p>
    <w:p>
      <w:r>
        <w:t>Bundesverwaltungsgericht, 2010-01-19, DE</w:t>
      </w:r>
    </w:p>
    <w:p>
      <w:r>
        <w:rPr>
          <w:b/>
        </w:rPr>
        <w:t xml:space="preserve">Quelle: </w:t>
      </w:r>
      <w:r>
        <w:t>https://mcp.opencaselaw.ch/entscheid/bvger_C-3343_2009</w:t>
      </w:r>
    </w:p>
    <w:p>
      <w:r>
        <w:t>FR: TAF C-3343/2009 du 19 janvier 2010</w:t>
      </w:r>
    </w:p>
    <w:p>
      <w:r>
        <w:t>IT: TAF C-3343/2009 del 19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unterliegen die Gesuchsteller der Visumpflicht.</w:t>
      </w:r>
    </w:p>
    <w:p>
      <w:r>
        <w:rPr>
          <w:b/>
        </w:rPr>
        <w:t>E. 6.1</w:t>
      </w:r>
    </w:p>
    <w:p>
      <w:r>
        <w:t>Vorliegend ist zu überprüfen,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6.2</w:t>
      </w:r>
    </w:p>
    <w:p>
      <w:r>
        <w:t>Die Gesuchsteller leben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Der Armutsanteil der Bevölkerung im Kosovo liegt bei 45%; 15% der Staatsbürger leben sogar in extremer Armut (vgl. &lt;http://www.worldbank.org&gt;, Countries &gt; Europe and Central Asia &gt; Kosovo &gt; Overview &gt; Country Brief - November 2009, besucht im Januar 2010). Der Zuwanderungsdruck aus dieser Region ist dementsprechend hoch, was sich auch in der schweizerischen Asylstatistik widerspiegelt. So stammten im Jahr 2008 7.8% der Asylsuchenden aus dem Gebiet von Serbien und dem Kosovo. Diese Region stand damit in der Statistik der Asylgesuche nach Nationen an vierter Stelle (vgl. kommentierte BFM-Asylstatistik 2008, S. 9). Seit dem 1. April 2009 gelten Serbien und Kosovo zwar als verfolgungssichere Staaten (Safe Countries), dies gemäss Beschluss des Bundesrates vom 6. März 2009. Es wird sich aber zeigen müssen, ob und falls ja, welchen Einfluss dies auf künftige Asylbewerberzahlen haben wird. Immerhin stellten im 2. Quartal 2009 noch 142 Personen aus dem Kosovo hier ein Asylgesuch. Im 3. Quartal stieg die Zahl auf 179 Gesuche. Im 4. Quartal waren es 151 Gesuche. Kosovo liegt damit in der Quartalsstatistik der Asylgesuche nach Nationen an achter Stelle (vgl. Asylstatistik des BFM 4. Quartal 2009, S. 6).</w:t>
      </w:r>
    </w:p>
    <w:p>
      <w:r>
        <w:rPr>
          <w:b/>
        </w:rPr>
        <w:t>E. 6.3</w:t>
      </w:r>
    </w:p>
    <w:p>
      <w:r>
        <w:t>In Anbetracht der vorerwähnten Verhältnisse im Kosovo und unter Berücksichtigung der Tatsache, dass die Bereitschaft zur Emigration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vorerwähnten Verhältnisse entbinden die Vorinstanz nicht von einer einzelfallbezogenen Beurteilung. Namentlich können berufliche, gesellschaftliche oder familiäre Verpflichtungen die Prognose einer anstandslosen Wiederausreise begünstigen.</w:t>
      </w:r>
    </w:p>
    <w:p>
      <w:r>
        <w:rPr>
          <w:b/>
        </w:rPr>
        <w:t>E. 7.1</w:t>
      </w:r>
    </w:p>
    <w:p>
      <w:r>
        <w:t>Bei den Gesuchstellern handelt es sich um einen 40-jährigen Mann und eine 37-jährige Frau, die miteinander verheiratet sind. Über ihre persönliche Situation ist bekannt, dass sie mit dem Beschwerdeführer verwandt bzw. verschwägert sind. Gemäss Akten obliegen ihnen jedoch keine familiären Verpflichtungen (wie insbesondere gegenüber eigenen Kindern). Die beiden Ehepartner hielten sich noch nie in der Schweiz auf und auch keiner von ihnen erhielt bisher ein Schengen-Visum ausgestellt.</w:t>
      </w:r>
    </w:p>
    <w:p>
      <w:r>
        <w:rPr>
          <w:b/>
        </w:rPr>
        <w:t>E. 7.2</w:t>
      </w:r>
    </w:p>
    <w:p>
      <w:r>
        <w:t>Die beiden Gesuchsteller waren laut eigenen Angaben zum Zeitpunkt der Visumantragsstellung arbeitslos (jeweils Ziff. 19: "No job"). Im Gegensatz hierzu liegen jedoch widersprüchliche Aussagen des Beschwerdeführers vor, der seinerseits behauptet, die beiden Gesuchsteller müssten aufgrund ihrer selbständigen Erwerbstätigkeit rechtzeitig nach Beendigung ihres Besuchaufenthaltes wieder in ihr Heimatland zurückkehren. Die Feststellung der Vorinstanz, diese widersprüchlichen Angaben stellten ein Indiz für einen unklaren Aufenthaltszweck dar, wird durch den von der Schweizer Vertretung in Pristina als Gefälligkeitsvertrag qualifizierten Arbeitsvertrag, der von den Gesuchstellern im Verlaufe des Beschwerdeverfahrens als Beweismittel nachgereicht worden ist, bestätigt. Ausserdem liegen keine Belege vor, die zuverlässige Rückschlüsse auf die wirtschaftlichen Verhältnisse ziehen lassen, in denen die Gesuchsteller leben. Aufgrund der vorliegenden Akten kann jedenfalls nicht davon ausgegangen werden, die Gesuchsteller befänden sich in vorteilhaften und stabilen wirtschaftlichen Verhältnissen, die sie nachhaltig davon abzuhalten vermöchten, eine Emigration in die Schweiz in Erwägung zu ziehen.</w:t>
      </w:r>
    </w:p>
    <w:p>
      <w:r>
        <w:rPr>
          <w:b/>
        </w:rPr>
        <w:t>E. 8</w:t>
      </w:r>
    </w:p>
    <w:p>
      <w:r>
        <w:t>An dieser Risikoeinschätzung vermögen auch die vom Beschwerdeführer eingereichten Belege betreffend seine persönliche finanzielle Situation sowie seine Garantieerklärung vom 23. April 2009 nichts zu ändern. Die Integrität des Beschwerdeführers in seiner Eigenschaft als Gastgeber wird nicht in Zweifel gezogen.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 des Bundesverwaltungsgerichts C-6950/2007 vom 7. November 2008 E. 8).</w:t>
      </w:r>
    </w:p>
    <w:p>
      <w:r>
        <w:rPr>
          <w:b/>
        </w:rPr>
        <w:t>E. 9</w:t>
      </w:r>
    </w:p>
    <w:p>
      <w:r>
        <w:t>Folglich ist nicht zu beanstanden, dass die Vorinstanz das öffentliche Interesse sowie die Beachtung der geltenden Bestimmungen entsprechend gewichtete und den Gesuchstellern die Einreise verweigerte. Die angefochtene Verfügung verletzt daher das Bundesrecht nicht. Soweit für das vorliegende Urteil massgebend, wurde der rechtserhebliche Sachverhalt richtig und vollständig festgestellt, und die Vorinstanz hat das ihr zustehende Ermessen pflichtgemäss ausgeübt (vgl. Art. 49 VwVG).</w:t>
      </w:r>
    </w:p>
    <w:p>
      <w:r>
        <w:rPr>
          <w:b/>
        </w:rPr>
        <w:t>E. 10</w:t>
      </w:r>
    </w:p>
    <w:p>
      <w:r>
        <w:t>Entsprechend dem Ausgang des Verfahrens wird der unterliegende Beschwerdeführer kostenpflichtig (Art. 63 Abs. 1 VwVG). Die Verfah-renskosten sind auf Fr. 600.-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