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C-333/2012 vom 21. August 2014</w:t>
      </w:r>
    </w:p>
    <w:p>
      <w:r>
        <w:t>Bundesverwaltungsgericht, 2014-08-21, DE</w:t>
      </w:r>
    </w:p>
    <w:p>
      <w:r>
        <w:rPr>
          <w:b/>
        </w:rPr>
        <w:t xml:space="preserve">Quelle: </w:t>
      </w:r>
      <w:r>
        <w:t>https://mcp.opencaselaw.ch/entscheid/bvger_C-333_2012</w:t>
      </w:r>
    </w:p>
    <w:p>
      <w:r>
        <w:t>FR: TAF C-333/2012 du 21 août 2014</w:t>
      </w:r>
    </w:p>
    <w:p>
      <w:r>
        <w:t>IT: TAF C-333/2012 del 21 agosto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VGG).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2012/21 E. 5.1, BVGE 2011/1 E.).</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 S. 115 f.).</w:t>
      </w:r>
    </w:p>
    <w:p>
      <w:r>
        <w:rPr>
          <w:b/>
        </w:rPr>
        <w:t>E. 3.3</w:t>
      </w:r>
    </w:p>
    <w:p>
      <w:r>
        <w:t>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w:t>
      </w:r>
    </w:p>
    <w:p>
      <w:r>
        <w:rPr>
          <w:b/>
        </w:rPr>
        <w:t>E. 3.3.1</w:t>
      </w:r>
    </w:p>
    <w:p>
      <w:r>
        <w:t>Bei der Frage des anwendbaren Rechts stellt sich der Beschwerdeführer unter Hinweis auf Art. 57 BüG auf den Standpunkt, Art. 41 BüG (in der Fassung vor dem 1. März 2011) sei massegebend (fünfjährige Verwirkungsfrist). Bei der Berechnung der fünfjährigen Frist für die Nichtigerklärung stellt er aus nicht nachvollziehbaren Gründen auf die (mutmassliche) Rechtskraft der beiden Verfügungen (erleichterte Einbürgerung und Nichtigerklärung) ab, wobei er völlig ausser Acht lässt, dass die Nichtigerklärung durch die Einreichung der Beschwerde gar nicht in Rechtskraft erwachsen konnte. Völlig abwegig ist auch seine Feststellung, die Vorinstanz müsse sich bei der Mitteilung der Rechtskraft der erleichterten Einbürgerung vom 17. Januar 2007, welche den 7. statt den 22. Januar 2007 aufführt, behaften lassen, zumal eine falsche Rechtskraftmitteilung der verfügenden Behörde für einen betroffenen, der die Verfügung anfechten will, ebenfalls nicht verbindlich ist. Gemäss der Rechtsprechung des Bundesgerichts und des Bundesverwaltungsgerichts wird der Lauf der fünfjährigen Verwirkungsfrist nach altArt. 41 Abs. 1 BüG mit der Eröffnung der Einbürgerungsverfügung ausgelöst, wobei der Tag der Eröffnung nicht mitgerechnet wird, und endet am Tag, der durch seine Zahl dem ersten an die Frist anrechenbaren Tag entspricht, bei dessen Fehlen am letzten Tag des Monats. Die Frist ist gewahrt, wenn die Verfügung betreffend Nichtigerklärung der erleichterten Einbürgerung dem Betroffenen spätestens am letzten Tag eröffnet wird (vgl. Urteil des Bundesgerichts 1C_336/2010 vom 28. September 2010 E. 3.1 und E. 3.3 mit Hinweisen, sowie Urteil des Bundesverwaltungsgerichts C-1174/2006 vom 8. Dezember 2010 E. 4.1). Die Einbürgerungsverfügung datiert vom 6. Dezember 2006 und gelangte gleichentags zur Versendung. In welchem Zeitpunkt sie dem Beschwerdeführer zugegangen war, ist nicht bekannt. Zu seinen Gunsten ist davon auszugehen, dass sie ihm am Tag darauf, dem 7. Dezember 2006, eröffnet wurde. Die fünfjährige Verwirkungsfrist nach altArt. 41 Abs. 1 BüG begann demnach am nächstfolgenden Tag, dem 8. Dezember 2006, zu laufen und endete am 8. Dezember 2011. Den Akten lässt sich sodann entnehmen, dass die angefochtene Verfügung dem Beschwerdeführer bzw. dem Rechtsvertreter am 7. Dezember 2011 eröffnet wurde, womit die fünfjährige Verwirkungsfrist - entgegen der Auffassung des Beschwerdeführers - gewahrt ist.</w:t>
      </w:r>
    </w:p>
    <w:p>
      <w:r>
        <w:rPr>
          <w:b/>
        </w:rPr>
        <w:t>E. 3.3.2</w:t>
      </w:r>
    </w:p>
    <w:p>
      <w:r>
        <w:t>Im Übrigen ist gemäss Rechtsprechung ohnehin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In casu begann die relative zweijährige Frist als Neuerung ohne Gegenstück im alten Recht frühestens ab Zeitpunkt des Inkrafttretens des neuen Rechts zu laufen (1. März 2011) und nicht - wie vom Beschwerdeführer vorgebracht - mit der Einleitung des Verfahrens auf Nichtigerklärung der erleichterten Einbürgerung am 30. Januar 2007 (vgl. Urteil des BVGer C 476/2012 vom 19. Juli 2012 E. 4.4 mit Hinweis, vgl. auch die Konstellation im Urteil des Bundesgerichts 1C_ 516/2012 vom 29. Juli 2013). Somit ist die angefochtene Verfügung auch nach neuem Recht nicht zu spät erlassen worden.</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(vgl. BGE 135 II 161 E. 3 mit Hinweisen).</w:t>
      </w:r>
    </w:p>
    <w:p>
      <w:r>
        <w:rPr>
          <w:b/>
        </w:rPr>
        <w:t>E. 4.2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mit Hinweisen).</w:t>
      </w:r>
    </w:p>
    <w:p>
      <w:r>
        <w:rPr>
          <w:b/>
        </w:rPr>
        <w:t>E. 5</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6.1</w:t>
      </w:r>
    </w:p>
    <w:p>
      <w:r>
        <w:t>Aus den Akten gehr hervor, dass der Beschwerdeführer im August 1999 als Asylsuchender in die Schweiz gelangte. Unmittelbar nach der Einreise in die Schweiz lernte er seine spätere Ehefrau kennen, die er im September 2001 heiratete. Auf diese Weise sicherte er sich im Ergebnis seinen weiteren Aufenthalt in der Schweiz. Noch vor der Heirat (im Juni 2001) kam das erste gemeinsame Kind zur Welt. Am 4. September 2005 stellte der Beschwerdeführer ein Gesuch um erleichterte Einbürgerung. Im Januar 2006 wurde das zweite gemeinsame Kind geboren. Die Ehegatten unterzeichneten am 8. November 2006 gemeinsam eine Erklärung betreffend eheliche Gemeinschaft, und am 6. Dezember 2006 wurde der Beschwerdeführer erleichtert eingebürgert. Knapp 17 Monate später, am 28. Mai 2008, haben sich die Ehegatten endgültig getrennt (Auszug der Ehefrau aus der ehelichen Wohnung). Unbestrittenermassen verliess die Ehefrau die gemeinsame Wohnung bereits vorher mindestens einmal (im Jahre 2003), kehrte dann der Kinder wegen wieder zurück. Am 7. Oktober 2009 wurde der Beschwerdeführer aus einer Drittbeziehung Vater einer in Guinea geborenen Tochter. Am 21. September 2011 wurde die Ehe rechtskräftig geschieden.</w:t>
      </w:r>
    </w:p>
    <w:p>
      <w:r>
        <w:rPr>
          <w:b/>
        </w:rPr>
        <w:t>E. 6.2</w:t>
      </w:r>
    </w:p>
    <w:p>
      <w:r>
        <w:t>Der Beschwerdeführer versichert, dass die Ehe zum Zeitpunkt der erleichterten Einbürgerung intakt gewesen sei. Als er am 8. November 2006 die Erklärung unterschrieben habe, sei er überzeugt gewesen, dass er, seine Ehefrau und die gemeinsamen Kinder zusammen bleiben würden. Nach der Trennung im Jahre 2003 sei die Ehefrau ja wieder zu ihm zurückgekehrt. Die Geburt der jüngsten Tochter im Januar 2006 belege die Intaktheit der Ehe. Anschliessend habe es in der Ehe bis weit nach der Einbürgerung keine grösseren Krisen mehr gegeben. Dass die Ehe in all den Jahren durch Gewalt, Drohungen, Beschimpfungen, Strafanzeigen und Trennungen gekennzeichnet gewesen sein sollte, werde bestritten. Die Ehefrau habe gegenüber Dritten immer wieder alles Mögliche behauptet. Die Eingaben von Beiständin und Vormundschaftsbehörde seien sehr einseitig gehalten und würden den später im Gerichtsverfahren betreffend Ehescheidung gewonnenen Tatsachen widersprechen. So zeige der Entzug der Obhut über die Kinder, dass sie nicht in der Lage gewesen sei, die Kinder zu betreuen, obwohl sie als IV-Rentnerin die dazu nötige Zeit gehabt hätte. Erst nach der erleichterten Einbürgerung habe die Ehefrau vermehrt in Restaurants verkehrt, Geld ausgegeben und neue Freunde bzw. Freundinnen getroffen, in deren Abhängigkeit sie geraten sei. Dabei habe sie die Kinder entweder mitgenommen oder vorgängig zu ihren Eltern gebracht. Gleichzeitig habe er zu 100 Prozent gearbeitet und daneben noch die gesamte Hausarbeit machen müssen. Dass es deswegen zu Streitigkeiten (über Kinderbetreuung und Finanzen) gekommen sei, werde nicht bestritten. Jedenfalls sei sie aus der ehelichen Wohnung und darauf bei ihren Freundinnen eingezogen. Den Anlass für die definitive Trennung habe somit sie einige Zeit nach der erleichterten Einbürgerung gesetzt. Erst lange Zeit nach der Trennung und zu einem Zeitpunkt, als die Ehe wirklich nicht mehr zu retten gewesen sei, habe er bei einem Heimaturlaub sexuelle Kontakte zu einer Frau gehabt, wobei ein Kind gezeugt worden sei. Dies sei aber zu einem Zeitpunkt gewesen, als seine Ehefrau seit langem bei ihrem Freund gewohnt habe.</w:t>
      </w:r>
    </w:p>
    <w:p>
      <w:r>
        <w:rPr>
          <w:b/>
        </w:rPr>
        <w:t>E. 6.3</w:t>
      </w:r>
    </w:p>
    <w:p>
      <w:r>
        <w:t>In ihren Stellungnahmen vom 22. September und 20. Oktober 2011 führt die (Ex-)Ehefrau aus, der Grund für die Heirat sei die bevorstehende Geburt der ersten Tochter gewesen. Die Ehe sei bis zum Zeitpunkt, als der Beschwerdeführer den Schweizerpass erhalten habe, gut verlaufen. Danach sei sie nur noch schlecht behandelt worden. (u.a. durch Bedrohungen). Er sei immer bei seinen Kollegen gewesen und habe sich nicht um die Kinder gekümmert. Sie habe ihn insgesamt drei Mal verlassen, wobei sie zwei Mal zurückgekehrt sei. Nach nur kurzer Zeit sei alles wieder wie vorher gewesen.</w:t>
      </w:r>
    </w:p>
    <w:p>
      <w:r>
        <w:rPr>
          <w:b/>
        </w:rPr>
        <w:t>E. 6.4</w:t>
      </w:r>
    </w:p>
    <w:p>
      <w:r>
        <w:t>Der zeitliche Abstand von 17 Monaten zwischen der erleichterten Einbürgerung und der endgültigen Trennung ist in Verbindung mit weiteren belastenden Indizien durchaus geeignet, die natürliche Vermutung zu begründen, der Beschwerdeführer habe die erleichterte Einbürgerung durch falsche Angaben oder durch Verschweigen wesentlicher Tatsachen erschlichen (vgl. Urteile des Bundesgerichts 1C_796/2013 vom 13. März 2014 E. 3.2 und 1C_674/2013 vom 12. Dezember 2013 E. 3.3 mit Hinweisen; Urteil des BVGer C-2227/2012 vom 11. September 2013 E. 7.4.3). In der vorliegenden Streitsache fallen als weitere belastende Indizien die kritische Aufenthaltssituation des Beschwerdeführers zum Zeitpunkt des Eheschlusses in Betracht, ferner der Verzicht auf gemeinsame Ferien oder sonstige gemeinsame Aktivitäten, die unterschiedlichen Vorstellungen über Haushaltsführung und Kinderbetreuung und insbesondere die Stellungnahmen der früheren Beiständin der Ex-Ehefrau und der Vormundschaftsbehörde Stüsslingen vom 30./31. Januar 2007. Danach habe der Beschwerdeführer seine Frau beleidigt, bedroht, geschlagen und sie wiederholt sexuell genötigt. Aus Angst vor dem Beschwerdeführer sei die Ex-Ehefrau auch eher geneigt, dessen Verhalten schön zu reden. Aus Angst vor dem Verlust des Sorgerechts über die (ältere) Tochter sei sie jeweils wieder zum Beschwerdeführer zurückgekehrt. Es ist daher am Beschwerdeführer, die natürliche Vermutung zu erschüttern, dass seine Ehe zum Zeitpunkt der erleichterten Einbürgerung tatsächlich nicht mehr intakt war und er die Behörden über diesen Umstand aktiv oder passiv täuschte.</w:t>
      </w:r>
    </w:p>
    <w:p>
      <w:r>
        <w:rPr>
          <w:b/>
        </w:rPr>
        <w:t>E. 6.5</w:t>
      </w:r>
    </w:p>
    <w:p>
      <w:r>
        <w:t>Die aufgelisteten Indizien weisen in ihrer Gesamtheit darauf hin, dass seitens der Eheleute bereits im Zeitpunkt der erleichterten Einbürgerung kein auf die Zukunft gerichteter Ehewille mehr bestand. Entgegen den Ausführungen der Ex-Ehefrau verlief die Ehe schon vor der Einbürgerung des Beschwerdeführers nicht gut, bzw. war gekennzeichnet durch Drohungen, Belästigungen und sexuellen Nötigungen. Dies ergibt sich im Übrigen nicht nur aus der Stellungnahme der Beiständin der Ex-Ehefrau, sondern auch aus den Umständen der Trennung von 2003 und den Strafanzeigen vom Juni und August 2003 wegen Tätlichkeiten, Drohung und Beschimpfung, welche jedoch zurückgezogen wurden. Dass die Ex-Ehefrau dies aus Angst vor dem Beschwerdeführer bzw. vor dem Verlust des Sorgerechts über die ältere Tochter tat, ist aufgrund der Ausführungen der Beiständin nachvollziehbar. Da die Ex-Ehefrau damals nur aus Angst vor dem Beschwerdeführer wieder zu ihm zurückkehrte, kann er auch aus der Zeugung der zweiten Tochter nichts zu seinen Gunsten ableiten bzw. daraus auf einen intakten Ehewillen schliessen. Nicht von Relevanz für die Beurteilung der Intaktheit der Ehe bzw. des gemeinsamen Ehewillens ist schliesslich die Tatsache, dass der Ex-Ehefrau die Obhut über die Kinder entzogen wurde. Selbst wenn der Beschwerdeführer - wie er behauptet - sich hauptsächlich um die Kinder gekümmert hat, sagt dies noch lange nichts über das Eheleben zwischen ihm und der Ex-Ehefrau aus.</w:t>
      </w:r>
    </w:p>
    <w:p>
      <w:r>
        <w:rPr>
          <w:b/>
        </w:rPr>
        <w:t>E. 6.6</w:t>
      </w:r>
    </w:p>
    <w:p>
      <w:r>
        <w:t>Soweit argumentiert wird, die inneren Vorgänge auf Seiten der Ex-Ehefrau könnten nicht dem Beschwerdeführer angelastet werden bzw. eine allfällige Trennungsabsicht von ihr zum massgeblichen Zeitpunkt sei irrelevant, wird verkannt, dass es nicht darauf ankommt, welcher Ehepartner für die Auflösung der Ehe die Hauptverantwortung trägt. Zu prüfen ist lediglich, ob aufgrund der gesamten Umstände für den Zeitpunkt der gemeinsamen Erklärung und der Einbürgerung eine intakte und stabile Ehesituation angenommen werden kann (vgl. etwa Urteil des Bundesgerichts 1C_250/2011 vom 21. Juli 2011 E. 5 oder Urteile des BVGer C 7973/2010 vom 13. Juni 2013 E. 7.7 und C-1550/2011 vom 23. November 2012 E. 8.5 je mit Hinweisen). Dies war hier - wie dargelegt - nicht der Fall. Der Auszug der Ehefrau aus der gemeinsamen Wohnung bzw. die definitive Trennung 17 Monate nach der erleichterten Einbürgerung war denn auch nicht die Folge eines ausserordentlichen Ereignisses, sondern das Ende eines Prozesses der sich schon lange abgezeichnet und vor der erleichterten Einbürgerung bzw. dem Zeitpunkt der gemeinsamen Erklärung begonnen hat. Offensichtlich wagte die Ex-Ehefrau diesen endgültigen Schritt erst, nachdem sie neue Freunde/Freundinnen kennengelernt hatte.</w:t>
      </w:r>
    </w:p>
    <w:p>
      <w:r>
        <w:rPr>
          <w:b/>
        </w:rPr>
        <w:t>E. 6.7</w:t>
      </w:r>
    </w:p>
    <w:p>
      <w:r>
        <w:t>Was die diversen im Zusammenhang mit dem Gesuch um erleichterte Einbürgerung zu den Akten gelegten Referenzschreiben anbelangt, so versteht es sich von selbst, dass damit der Beweis einer intakten, auf die Zukunft gerichteten Ehe nicht zu erbringen ist. Vielmehr beschränken sich diese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BVGer C-2263/2011 vom 11. September 2013 E. 7.5 mit Hinweisen).</w:t>
      </w:r>
    </w:p>
    <w:p>
      <w:r>
        <w:rPr>
          <w:b/>
        </w:rPr>
        <w:t>E. 6.8</w:t>
      </w:r>
    </w:p>
    <w:p>
      <w:r>
        <w:t>Dem Beschwerdeführer ist es somit nicht gelungen,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hat er die Behörde über eine wesentliche Tatsache getäuscht und die erleichterte Einbürgerung im Sinne von Art. 41 Abs. 1 BüG erschlichen. Die materiellen Voraussetzungen für die Nichtigerklärung der erleichterten Einbürgerung sind somit ebenfalls erfüllt. Gründe, die es rechtfertigen würden, ermessensweise von der Regelfolge der Nichtigerklärung abzusehen, werden keine geltend gemacht und sind auch nicht ersichtlich.</w:t>
      </w:r>
    </w:p>
    <w:p>
      <w:r>
        <w:rPr>
          <w:b/>
        </w:rPr>
        <w:t>E. 7</w:t>
      </w:r>
    </w:p>
    <w:p>
      <w:r>
        <w:t>Die angefochtene Verfügung erweist sich demnach als rechtmässig (Art. 49 VwVG). Die Beschwerde ist daher abzuweisen.</w:t>
      </w:r>
    </w:p>
    <w:p>
      <w:r>
        <w:rPr>
          <w:b/>
        </w:rPr>
        <w:t>E. 8</w:t>
      </w:r>
    </w:p>
    <w:p>
      <w:r>
        <w:t>Dem Ausgang des Verfahrens entsprechend wird der Beschwerdeführer kostenpflichtig (Art. 63 Abs. 1 VwVG). Die Verfahrenskosten sind auf Fr. 900.- festzusetzen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