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C-3333/2010 vom 25. Januar 2012</w:t>
      </w:r>
    </w:p>
    <w:p>
      <w:r>
        <w:t>Bundesverwaltungsgericht, 2012-01-25, FR</w:t>
      </w:r>
    </w:p>
    <w:p>
      <w:r>
        <w:rPr>
          <w:b/>
        </w:rPr>
        <w:t xml:space="preserve">Quelle: </w:t>
      </w:r>
      <w:r>
        <w:t>https://mcp.opencaselaw.ch/entscheid/bvger_C-3333_2010</w:t>
      </w:r>
    </w:p>
    <w:p>
      <w:r>
        <w:t>FR: TAF C-3333/2010 du 25 janvier 2012</w:t>
      </w:r>
    </w:p>
    <w:p>
      <w:r>
        <w:t>IT: TAF C-3333/2010 del 25 gennaio 2012</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le Tribunal prend en considération l'état de fait régnant au moment où il statue (cf. ATAF 2011/1 consid. 2 et la jurisprudence citée).</w:t>
      </w:r>
    </w:p>
    <w:p>
      <w:r>
        <w:rPr>
          <w:b/>
        </w:rPr>
        <w:t>E. 3</w:t>
      </w:r>
    </w:p>
    <w:p>
      <w:r>
        <w:t>La procédure visant au renouvellement de l'autorisation de séjour en faveur de A._______, qui est à l'origine du présent litige, a été engagée le 15 septembre 2009, soit après le 1er janvier 2008, date de l'entrée en vigueur de la LEtr. C'est en effet le 15 septembre 2009 que le prénommé a annoncé à l'OCP/GE qu'il avait quitté le domicile conjugal et qu'il avait mandaté un avocat, dans le cadre de sa séparation d'avec son épouse, aux fins de diligenter une procédure de divorce et de désaveu en paternité. Aussi, suite à cette annonce, l'autorité cantonale genevoise a-t-elle été amenée à procéder à l'examen des conditions de séjour de l'intéressé sur son territoire (cf. écrit du 12 octobre 2009). Il y a donc lieu d'appliquer le nouveau droit en la présente cause (cf. art. 126 al. 1 LEtr a contrario; l'arrêt du Tribunal fédéral 2C_845/2010 du 21 mars 2011 consid. 1).</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compétences; état au 30 septembre 2011, consulté en décembre 2011). Il s'ensuit que ni le Tribunal, ni l'ODM ne sont liés par la décision de l'OCP/GE du 26 janvier 2010 de renouveler l'autorisation de séjour en faveur de A._______ et peuvent parfaitement s'écarter de l'appréciation faite par cette autorité.</w:t>
      </w:r>
    </w:p>
    <w:p>
      <w:r>
        <w:rPr>
          <w:b/>
        </w:rPr>
        <w:t>E. 5</w:t>
      </w:r>
    </w:p>
    <w:p>
      <w:r>
        <w:t>En l'espèce, il est constant que A._______ a épousé le 22 août 2003, à Yaoundé, une compatriote titulaire d'une autorisation d'établissement dans le canton de Zurich, qu'il est arrivé en Suisse le 7 novembre 2004 dans le cadre du regroupement familial et qu'il n'a pas vécu pendant cinq ans en Suisse avec B._______, la séparation définitive des époux étant intervenue soit en septembre 2009 (cf. mémoire de recours, p. 10), soit en décembre 2008 déjà (ibidem, sur ce point cf. aussi courriers de la prénommée des 14 et 20 août 2009). Le recourant ne peut donc plus prétendre à un droit à une autorisation de séjour au sens de l'art. 43 al. 1 LEtr, voire à une autorisation d'établissement au sens du deuxième alinéa de ladite disposition, en relation avec l'art. 49 LEtr (cf. notamment les arrêts du Tribunal fédéral 2C_845/2010 du 21 mars 2011, consid. 2.1.1, et 2C_144/2011 du 15 février 2011, consid. 2.1). Il convient dès lors d'examiner si l'intéressé peut se prévaloir d'un tel droit en vertu de l'art. 50 LEtr (cf. l'arrêt du Tribunal fédéral 2C_556/2010 du 2 décembre 2010 consid. 4).</w:t>
      </w:r>
    </w:p>
    <w:p>
      <w:r>
        <w:rPr>
          <w:b/>
        </w:rPr>
        <w:t>E. 6</w:t>
      </w:r>
    </w:p>
    <w:p>
      <w:r>
        <w:t>6.1. Selon l'art. 50 al. 1 let. a LEtr, après dissolution de la famille, le droit du conjoint à l'octroi d'une autorisation de séjour et à la prolongation de sa durée de validité en vertu des art. 42 et 43 subsiste si l'union conjugale a duré au moins trois ans et que l'intégration est réussie. Il s'agit de deux conditions cumulatives (cf. ATF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ATF 136 II précité, consid. 3.2, et l'arrêt du Tribunal fédéral 2C_565/2009 du 18 février 2010, consid. 2.1.1, ainsi que la jurisprudence et la doctrine citées). 6.2. En l'espèce, l'autorité inférieure estime que l'art. 50 al. 1 let. a LEtr n'est pas applicable, au motif qu'il existe "certains doutes" au sujet de la nature réelle et effective de l'union conjugale conclue le 22 août 2003 en raison de la naissance pendant le mariage de deux enfants, dont A._______ n'est pas le père biologique. Elle fonde son opinion en s'appuyant sur une jurisprudence du Tribunal fédéral en matière de naturalisation facilitée (1C_52/2009 du 4 août 2009), selon laquelle l'exigence d'une "communauté conjugale" présuppose non seulement l'existence formelle d'un mariage, mais également celle d'une véritable communauté de vie des conjoints. Dans cette affaire, le Tribunal fédéral a considéré qu'il n'existait pas une volonté commune et intacte de ceux-ci de maintenir une union conjugale stable, dès lors que le recourant avait entretenu, après avoir contracté en février 1994 un mariage avec une citoyenne suisse nettement plus âgée que lui et après avoir obtenu la naturalisation facilitée en janvier 2002, une relation adultérine avec une jeune compatriote, qu'il avait épousée en janvier 2003 et fait venir en Suisse en janvier 2004 après son divorce d'avec sa première épouse (cf. l'arrêt précité, consid. 3.1). Aussi a-t-il jugé que l'entretien d'une relation extraconjugale sur la durée, quand bien même l'épouse légitime aurait donné son accord, n'était pas compatible avec la volonté des conjoints de continuer à former une communauté de destin à long terme (ibidem, consid. 3.4). Le recourant, de son côté, fait valoir que la situation évoquée dans cet arrêt ne peut pas être comparée à la sienne, le fait que l'un des époux entretienne une relation extraconjugale ne devant pas forcément aboutir à une séparation du couple (cf. mémoire de recours, p. 9). Le Tribunal observe que l'autorité inférieure méconnaît la distinction qu'il s'impose de faire entre la notion de communauté conjugale tirée du droit de la nationalité et celle prévalant en droit des étrangers, en tant que les domaines juridiques visés n'ont pas la même portée et qu'ils ne répondent pas aux mêmes exigences. 6.2.1. Ainsi, la notion de communauté conjugale dont il est question dans la loi fédérale sur l'acquisition et la perte de la nationalité suisse du 29 septembre 1952 (LN, RS 141.0),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légales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 contexte, il sied de noter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Aussi dite conception du mariage repose-t-elle sur l'idée que le conjoint étranger d'un citoyen helvétique s'accoutumera plus rapidement au mode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 6.2.2. En revanche, la communauté conjugale, voire familiale au sens de l'art. 50 al. 1 LEtr présuppose, outre l'existence formelle du mariage, que les époux fassent ménage commun pendant une certaine durée ou alors qu'ils puissent invoquer des raisons majeures justifiant la constitution de domiciles séparés (cf. art. 43 al. 1 et 49 LEtr). En plus de cela, la législation sur les étrangers émet comme seule réserve l'interdiction de l'abus de droit; tel est le cas lorsque le droit au regroupement familial est invoqué abusivement, notamment pour éluder les dispositions de la LEtr sur l'admission et le séjour ou ses dispositions d'exécution (cf. art 51 al. 1 let. a LEtr). Toutefois,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et en le limitant à son contenu essentiel: "War das ANAG noch vom Grundsatz des freien Ermessens der Behörden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 Kernbereich zu beschränken, d. h. auf eigentliche Machenschaften, um die Behörden zu täuschen bzw. eine Bewilligung zu erschleichen"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l'arrêt du Tribunal administratif fédéral C-7265/2008 du 24 janvier 2012 consid. 4.2 ss).</w:t>
      </w:r>
    </w:p>
    <w:p>
      <w:r>
        <w:rPr>
          <w:b/>
        </w:rPr>
        <w:t>E. 6.3</w:t>
      </w:r>
    </w:p>
    <w:p>
      <w:r>
        <w:t>Dans le cas d'espèce, le Tribunal relève que l'on ne saurait aucunement reprocher à A._______ d'avoir conclu ou maintenu un mariage dans le but de tromper les autorités. En effet, il appert du dossier que l'enfant issu le 5 août 2004 d'une première relation adultérine n'a pas amené l'intéressé à rompre ses liens conjugaux; au contraire, il s'est constamment occupé de cet enfant, "le considérant comme son propre fils, prenant soin de lui que ce soit financièrement ou affectivement" (cf. mémoire de recours, p. 4), et en pardonnant ce "faux pas" à son épouse (ibidem, p. 11). Par ailleurs, il appert que les conjoints ont vécu "très heureux tout en traversant également des moments de crises", jusqu'à leur séparation en 2009 (cf. courrier de B._______ du 24 février 2010, pièce no 1 produite à l'appui du recours). Force est de constater que rien au dossier ne permet de mettre en doute ces affirmations, de sorte qu'il y a lieu d'admettre que le mariage contracté par A._______ et son épouse le 22 août 2003 était réellement vécu, jusqu'à leur séparation, en septembre 2009 ou décembre 2008, due à la conception hors mariage du troisième enfant de B._______, et que l'union conjugale avait donc duré plus de trois ans. Partant, seule demeure litigieuse la question de l'intégration réussie, au sens du deuxième terme de l'art. 50 al. 1 let. a LEtr.</w:t>
      </w:r>
    </w:p>
    <w:p>
      <w:r>
        <w:rPr>
          <w:b/>
        </w:rPr>
        <w:t>E. 6.4</w:t>
      </w:r>
    </w:p>
    <w:p>
      <w:r>
        <w:t>Le principe d'intégration doit permettre aux étrangers dont le séjour est légal et durable de participer à la vie économique, sociale et culturelle de la Suisse (art. 4 al. 2 LEtr; cf. ATF 134 II 1 consid. 4.1).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ce terme signale aussi que la notion d'"intégration réussie" doit s'examiner à l'aune d'une appréciation globale des circonstances (cf. l'arrêt 2C_839/2010 du 25 février 2011 consid. 7.1.2). Dans l'examen de ces critères d'intégration, les autorités compétentes disposent d'un large pouvoir d'appréciation (cf. art. 54 al. 2 et 96 al. 1 LEtr ainsi qu'art. 3 OIE; cf. les arrêts 2C_427/2011 du 26 octobre 2011, consid. 5.2 et 2C_430/2011 du 11 octobre 2011, consid. 4.2, et 2C_986/2010 du 18 mai 2011, consid. 5.2).</w:t>
      </w:r>
    </w:p>
    <w:p>
      <w:r>
        <w:rPr>
          <w:b/>
        </w:rPr>
        <w:t>E. 6.5</w:t>
      </w:r>
    </w:p>
    <w:p>
      <w:r>
        <w:t>En l'occurrence, l'autorité inférieure a considéré que l'intégration professionnelle de A._______ n'était pas particulièrement poussée, même en tenant compte du fait qu'il avait débuté en janvier 2010 une formation commerciale parallèlement à son activité lucrative. En outre, elle a retenu qu'en dépit d'une situation financière stable et saine depuis 2005, l'intéressé occupait un emploi peu qualifié (cf. décision querellée, p. 4). Le recourant conteste cette appréciation en relevant qu'il est "parfaitement" intégré en Suisse (cf. mémoire de recours, p. 11). Selon une jurisprudence récente du Tribunal fédéral,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En outre, il importe peu que son indépendance financière résulte d'un emploi peu qualifié (cf. l'arrêt 2C_427/2011 du 26 octobre 2011, consid. 5.3, et la jurisprudence citée). Cette jurisprudence a été confirmée encore récemment (cf. l'arrêt 2C_426/2011 du 30 novembre 2011, consid. 3.3). Au plan professionnel, il appert du dossier que le recourant, arrivé dans le canton de Zurich en novembre 2004 au titre du regroupement familial, a débuté son activité professionnelle le 16 mai 2005 auprès d'une entreprise de restauration sise à l'aéroport de Zurich-Kloten, tandis que son épouse et les enfants de cette dernière dépendaient alors dans une large mesure des services sociaux compétents (cf. l'extrait du procès-verbal du Conseil d'Etat du canton de Zurich du 3 octobre 2007, p. 1). Le recourant a occupé cet emploi à Zurich jusqu'au 31 décembre 2007, d'abord en qualité de collaborateur d'exploitation ("Betriebsmitarbeiter"), puis, du 1er janvier 2008 au 30 septembre 2009, comme caissier ("Mitarbeiter Service/Kasse") à la gare de Genève. Le 1er octobre 2009, compte tenu de ses très bonnes qualifications et de son engagement, l'intéressé a été promu chef d'équipe ("Teamleader") d'un magasin-restaurant à Bienne (cf. certificat de travail du 10 février 2011, pièce no 5 produite le 6 juillet 2011). Ce document relève, en particulier, l'engagement, la flexibilité et l'amabilité dont l'intéressé a fait preuve durant toute son activité professionnelle. Certes, le recourant a perdu son poste le 30 juin 2011, à la suite de son licenciement le 28 avril 2011 pour des raisons économiques et non inhérentes à son travail ou sa personnalité (cf. pièce no 6 produite le 6 juillet 2011). Au vu de la jurisprudence du Tribunal fédéral, la période d'inactivité professionnelle que connaît actuellement le recourant ne saurait cependant amener, à elle seule, à la conclusion que celui-ci n'est pas intégré professionnellement.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l'arrêt précité 2C_427/2011 précité, consid. 5.3, et la jurisprudence citée). A cet égard, le Tribunal observe que le recourant est à la recherche d'un emploi, mais qu'il lui est difficile d'obtenir une nouvelle place de travail en raison de son statut incertain résultant de la présente procédure, et ce malgré son expérience professionnelle et ses qualifications (cf. renseignements communiqués le 6 juillet 2011, p. 4). Par ailleurs, il appert que pendant son séjour dans le canton de Genève, le recourant a poursuivi des formations commerciales en vue d'améliorer sa situation financière (cf. pièces nos 8 et 9 produites le 6 juillet 2011). En outre, il est important de souligner que l'intéressé n'a jamais contracté de dettes (cf. attestation de l'Office des poursuites de Genève du 22 juin 2011, pièce no 10 produite le 6 juillet 2011), qu'il ne bénéfice d'aucune aide financière et qu'il ne souhaite pas faire appel à une telle aide, son seul but étant de retrouver le plus rapidement un travail et d'avancer dans sa formation de comptable qui se terminera à fin 2014 (cf. écritures du 6 juillet 2011, p. 5). Au plan de l'intégration sociale, il y a lieu de retenir que plusieurs personnes ont témoigné par écrit de l'intégration de A._______, en manifestant le souhait que celui-ci puisse poursuivre son séjour en Suisse. En outre, il sied de souligner que le prénommé parle le français et l'allemand, ainsi que l'anglais, et qu'il affirme être intégré tant dans son travail et dans ses relations personnelles que dans sa communauté religieuse (cf. mémoire de recours, p. 11). Certes, il n'appert pas des pièces du dossier que l'intéressé ait participé à une vie associative durant sa présence sur le territoire helvétique et qu'il se soit ainsi créé de fortes attaches sociales étroites. Selon la jurisprudence du Tribunal fédéral cependant, si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2C_427/2011 précité, consid. 5.3, et la jurisprudence citée). Enfin, sur les plans personnel et familial, le recourant rappelle qu'il a tout son cercle d'amis en Suisse, que sa mère habite à Zurich et que son père est décédé au Cameroun (cf. renseignements communiqués le 6 juillet 2011, p. 3).</w:t>
      </w:r>
    </w:p>
    <w:p>
      <w:r>
        <w:rPr>
          <w:b/>
        </w:rPr>
        <w:t>E. 6.6</w:t>
      </w:r>
    </w:p>
    <w:p>
      <w:r>
        <w:t>Au vu de ce qui précède, le Tribunal arrive à la conclusion que ni la période d'inactivité professionnelle depuis juin 2011, ni les circonstances de son licenciement le 28 avril 2011, ni la nature des emplois exercés, ni l'absence d'implication étroite dans la vie associative ne permettent de nier la réussite de l'intégration du recourant dans la mesure où celui-ci disposait d'un emploi stable de mai 2005 à juin 2011, est à la recherche d'une nouvelle place de travail, suit une formation en vue de faciliter cette recherche, n'a jamais sollicité des prestations de l'aide sociale, maîtrise la langue parlée du lieu de son domicile et n'a pas contrevenu à l'ordre public. Il convient dès lors d'annuler la décision de l'ODM du 19 mars 2010, d'admettre le recours et d'ordonner la prolongation de l'autorisation de séjour litigieuse en application de l'art. 50 al. 1 let. a LEtr, étant précisé qu'il est superflu dans ces circonstances d'examiner si les conditions des art. 50 al. 1 let. b et 50 al. 2 LEtr sont remplies dans le cas d'espèce.</w:t>
      </w:r>
    </w:p>
    <w:p>
      <w:r>
        <w:rPr>
          <w:b/>
        </w:rPr>
        <w:t>E. 7</w:t>
      </w:r>
    </w:p>
    <w:p>
      <w:r>
        <w:t>Bien qu'elle succombe, l'autorité inférieure n'a pas à supporter de frais de procédure (art. 63 al. 2 PA). Le recourant obtenant gain de cause, il n'y a pas lieu de mettre les frais de procédure à sa charge (art. 63 al. 1 a contrario PA et art. 63 al. 3 PA). Succombant, l'Office fédéral devra verser au recourant une indemnité à titre de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Tribunal estime, au regard des art. 8 et ss FITAF, que le versement d'un montant de 1'500 francs à titre de dépens (TVA incluse) apparaît comme équitable en la présente cause.(dispositif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