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C-332/2008 vom 21. April 2009</w:t>
      </w:r>
    </w:p>
    <w:p>
      <w:r>
        <w:t>Bundesverwaltungsgericht, 2009-04-21, FR</w:t>
      </w:r>
    </w:p>
    <w:p>
      <w:r>
        <w:rPr>
          <w:b/>
        </w:rPr>
        <w:t xml:space="preserve">Quelle: </w:t>
      </w:r>
      <w:r>
        <w:t>https://mcp.opencaselaw.ch/entscheid/bvger_C-332_2008</w:t>
      </w:r>
    </w:p>
    <w:p>
      <w:r>
        <w:t>FR: TAF C-332/2008 du 21 avril 2009</w:t>
      </w:r>
    </w:p>
    <w:p>
      <w:r>
        <w:t>IT: TAF C-332/2008 del 21 aprile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3.2</w:t>
      </w:r>
    </w:p>
    <w:p>
      <w:r>
        <w:t>La recourante est particulièrement touchée par la décision attaquée et a un intérêt digne de protection à ce qu'elle soit annulée ou modifiée (art. 59 LPGA). Elle a, partant, qualité pour recourir.</w:t>
      </w:r>
    </w:p>
    <w:p>
      <w:r>
        <w:rPr>
          <w:b/>
        </w:rPr>
        <w:t>E. 3.3</w:t>
      </w:r>
    </w:p>
    <w:p>
      <w:r>
        <w:t>Dans la mesure où le recours a été introduit dans le délai et la forme prescrits (art. 60 LPGA et 52 PA), l'avance de frais versée dans les délais, il est entré en matière sur le fond du recours.</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La recourante a présenté sa demande de rente le 21 avril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21 avril 2004 (12 mois avant le dépôt de la demande) ou si le droit à une rente était né entre cette date et le 21 décembre 2007, date de la décision attaquée marquant la limite dans le temps du pouvoir d'examen de l'autorité de recours (ATF 130 V 445 consid. 1.2 et 1.2.1).</w:t>
      </w:r>
    </w:p>
    <w:p>
      <w:r>
        <w:rPr>
          <w:b/>
        </w:rPr>
        <w:t>E. 6.1</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w:t>
      </w:r>
    </w:p>
    <w:p>
      <w:r>
        <w:rPr>
          <w:b/>
        </w:rPr>
        <w:t>E. 6.2</w:t>
      </w:r>
    </w:p>
    <w:p>
      <w:r>
        <w:t>En l'occurrence, la recourante a versé des cotisations à l'AVS/AI pendant plus d'une année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8</w:t>
      </w:r>
    </w:p>
    <w:p>
      <w:r>
        <w:t>La recourante a travaillé en Suisse en 1970, 1972, 1973 et 1977 auprès de divers employeurs. Au Luxembourg, de 1980 à 2005, elle a oeuvré en qualité de pédicure, aide polyvalente, femme de charge, animatrice de vente dans la grande distribution et, en dernier lieu, chauffeur de minibus. L'assurée a cessé toute activité professionnelle le 21 août 2005.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la recourante souffre principalement d'une cardiopathie ischémique traitée par stents et by-pass, d'angors et d'angines de poitrine, d'hypercholestérolémie, d'une hyperthyroïdie, d'hypertension artérielle, de diabète, d'obésité, de lombalgies, d'arthrose lombaire, digitale et des pouces, ainsi que de rectorralgies.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l'espèce, l'OAIE retient que si la recourante n'est apte à reprendre sa précédente activité qu'à 60%, elle pourrait cependant exercer à 80% une activité de substitution sédentaire, telle que surveillante de parking ou de musée, et que dans cette mesure sa perte de gain serait insuffisante pour ouvrir le droit à une rente de l'assurance-invalidité. La recourante s'est, pour sa part, bornée à arguer du fait qu'elle n'avait pas le droit de reprendre une activité lucrative sous peine de perdre le statut d'invalide reconnu par l'Etat luxembourgeois. Elle expose bénéficier d'une rente de l'assurance-invalidité du Luxembourg et de la Belgique.</w:t>
      </w:r>
    </w:p>
    <w:p>
      <w:r>
        <w:rPr>
          <w:b/>
        </w:rPr>
        <w:t>E. 11.2</w:t>
      </w:r>
    </w:p>
    <w:p>
      <w:r>
        <w:t>En l'espèce, comme le relève le service médical de l'OAIE, la maladie coronarienne bi-tronculaire, cardiopathie ischémique, a été traitée par stents, puis pontages aorto-coronariens. Sur le vu des échocardiographies sous effort effectuées et des rapports versés au dossier, on peut ainsi certes retenir que les opérations subies par la recourante se sont bien déroulées et conclure à l'existence d'une fonction cardiaque suffisante. Il faut néanmoins souligner que la fonctionnalité cardiaque de l'intéressée reste médiocre et nécessite de soins continus. Il convient en outre de considérer le tableau clinique de l'assurée dans son ensemble: celle-ci souffre en effet d'une obésité importante (BMI de 40 à 45, 95kg pour 1m53) limitant fortement ses capacités physiques (cf. pces 72, 104 ss), d'angors et d'angines de poitrine, de lombo-sciatalgies, de paresthésie des membres inférieures, d'arthrose lombaire, digitale et des pouces, de rhizalthrose, d'enthésopathie et de rectorralgies (cf. pces 49 ss); la recourante éprouve même des difficultés à rester debout et à effectuer certains gestes élémentaires de la vie courante (cf. pce 56). Il apparaît ainsi douteux, eu égard aux affections dont elle souffre et à la fatigabilité qu'elles entraînent, qu'une activité adaptée à 80%, même sédentaire, soit compatible avec son l'état de santé. L'autorité de céans considère, à tout le moins, que la capacité de travail résiduelle n'a pas été établie avec une vraisemblance suffisante par l'autorité inférieure et qu'une nouvelle expertise s'avère nécessaire. Du reste, seuls les médecins du service médical de l'OAIE ont retenu une capacité de travail résiduelle de 80%. A l'inverse, le Dr E._______ a conclu à une incapacité de travail entière et définitive pour toute activité dès le 20 août 2005 (pce 56) et le Dr D._______ a constaté une aggravation de la situation clinique de la recourante (cf. pce 11 TAF).</w:t>
      </w:r>
    </w:p>
    <w:p>
      <w:r>
        <w:rPr>
          <w:b/>
        </w:rPr>
        <w:t>E. 11.3</w:t>
      </w:r>
    </w:p>
    <w:p>
      <w:r>
        <w:t>Le recours doit, partant, être partiellement admis, en ce sens que la décision attaquée doit être annulée et la cause renvoyée à l'OAIE, afin que celui-ci prenne une nouvelle décision après avoir procédé à une instruction complémentaire (art. 61 PA). A cet effet, une nouvelle expertise médicale, notamment cardiologique et orthopédique, sera diligentée. L'expert se déterminera en particulier sur la capacité de travail et de rendement de la recourante dans une activité de substitution. L'ensemble du dossier devra ensuite être soumis pour examen au service médical de l'administration.</w:t>
      </w:r>
    </w:p>
    <w:p>
      <w:r>
        <w:rPr>
          <w:b/>
        </w:rPr>
        <w:t>E. 12.1</w:t>
      </w:r>
    </w:p>
    <w:p>
      <w:r>
        <w:t>Selon la jurisprudence, la partie qui a formé recours est réputée avoir obtenu gain de cause lorsque la cause est renvoyée à l'administration pour instruction complémentaire et nouvelle décision (ATF 132 V 215 consid. 6.2). Il n'est ainsi pas perçu de frais de procédure (art. 63 al. 2 PA, applicable par renvoi de l'art. 37 LTAF). L'avance de frais de Fr. 300.-, versée par la recourante au cours de l'instruction, lui est remboursée.</w:t>
      </w:r>
    </w:p>
    <w:p>
      <w:r>
        <w:rPr>
          <w:b/>
        </w:rPr>
        <w:t>E. 12.2</w:t>
      </w:r>
    </w:p>
    <w:p>
      <w:r>
        <w:t>La recourante n'étant pas représentée,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