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C-3326/2012 vom 22. Januar 2013</w:t>
      </w:r>
    </w:p>
    <w:p>
      <w:r>
        <w:t>Bundesverwaltungsgericht, 2013-01-22, IT</w:t>
      </w:r>
    </w:p>
    <w:p>
      <w:r>
        <w:rPr>
          <w:b/>
        </w:rPr>
        <w:t xml:space="preserve">Quelle: </w:t>
      </w:r>
      <w:r>
        <w:t>https://mcp.opencaselaw.ch/entscheid/bvger_C-3326_2012</w:t>
      </w:r>
    </w:p>
    <w:p>
      <w:r>
        <w:t>FR: TAF C-3326/2012 du 22 janvier 2013</w:t>
      </w:r>
    </w:p>
    <w:p>
      <w:r>
        <w:t>IT: TAF C-3326/2012 del 22 gennaio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al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4.1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4.2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w:t>
      </w:r>
    </w:p>
    <w:p>
      <w:r>
        <w:rPr>
          <w:b/>
        </w:rPr>
        <w:t>E. 5.1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e FF 2009 7737). 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5.2</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5.3</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2012, art. 67 LStr, cifra 3).</w:t>
      </w:r>
    </w:p>
    <w:p>
      <w:r>
        <w:rPr>
          <w:b/>
        </w:rPr>
        <w:t>E. 6</w:t>
      </w:r>
    </w:p>
    <w:p>
      <w:r>
        <w:t>Dalle risultanze istruttorie emerge che A._______ ha interessato le autorità penali del Cantone Ticino una sola volta ma per reati importanti e meglio, furto aggravato, danneggiamento e violazione di domicilio. In particolare egli ha agito quale "associato a una banda intesa a commettere furti", sottraendo a danno di due boutique di Ascona complessivi 3'449 capi d'abbigliamento per un valore complessivo di fr. 688'544.42 e Euro 146'096.70, come pure altri effetti personali e denaro contante. Contestualmente l'interessato, allo scopo di commettere i furti elencati, ha causato pure danneggiamenti ai precitati negozi.</w:t>
      </w:r>
    </w:p>
    <w:p>
      <w:r>
        <w:rPr>
          <w:b/>
        </w:rPr>
        <w:t>E. 6.1</w:t>
      </w:r>
    </w:p>
    <w:p>
      <w:r>
        <w:t>Sebbene il ricorrente non abbia commesso reati contro la salute o l'integrità fisica, A._______ ha commesso atti contro il patrimonio reputati gravi in considerazione delle modalità con cui ha agito, ovvero in banda e per il danno importante causato alle vittime (cfr. sentenza della Corte delle assise criminali del 19 aprile 2012). Inoltre dalle emergenze istruttorie il presente Tribunale deve costatare che il ricorrente, privo di permesso di soggiorno, è entrato in Svizzera al solo scopo di commettere i reati citati. Ne discende che con il suo atteggiamento A._______ ha violato, come del resto egli ammette anche nei suoi allegati di causa, l'ordine e la sicurezza pubblici, e dimostrato di rappresentare una concreta minaccia, sufficientemente grave, da legittimare l'adozione di una misura dettata da motivi d'ordine pubblico. Ne discende che l'autorità di prime cure ha, a giusto titolo, emesso un divieto d'entrata nei confronti di A._______ conformemente all'art. 67 LStr.</w:t>
      </w:r>
    </w:p>
    <w:p>
      <w:r>
        <w:rPr>
          <w:b/>
        </w:rPr>
        <w:t>E. 7</w:t>
      </w:r>
    </w:p>
    <w:p>
      <w:r>
        <w:t>Essendo la decisione di divieto d'entrata confermata nel suo principio, resta ora da stabilire se la durata della misura di allontanamento adottata dall'UFM, prevista per un periodo indeterminato, rispetta il principio di proporzionalità. Nel caso in esame il ricorrente, riconoscendo di avere costituito una minaccia per la sicurezza e l'ordine pubblico svizzeri, ha sottolineato che non limitare nel tempo gli effetti del provvedimento è sicuramente eccessivo e contrario al principio di proporzionalità (cfr. replica alle osservazioni, del 20 settembre 2012).</w:t>
      </w:r>
    </w:p>
    <w:p>
      <w:r>
        <w:rPr>
          <w:b/>
        </w:rPr>
        <w:t>E. 7.1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Häfelin/ Müller/ Uhlmann, Allgemeines Verwaltungsrecht, 6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 (cfr. sentenza del TF 2C_282/12 del 31 luglio 2012, consid. 2.5).</w:t>
      </w:r>
    </w:p>
    <w:p>
      <w:r>
        <w:rPr>
          <w:b/>
        </w:rPr>
        <w:t>E. 7.2</w:t>
      </w:r>
    </w:p>
    <w:p>
      <w:r>
        <w:t>Il ricorrente si è reso protagonista di crimini gravi per l'ordine e la sicurezza pubblici, rappresentando un pericolo per la società, come del resto ammesso da egli stesso. Come già rilevato in precedenza l'agire di A._______ deve essere considerato ancor più grave nella misura in cui ha agito in banda ed è giunto in Svizzera, senza i necessari permessi, unicamente per la commissione del reato. Quanto agli interessi privati, l'interessato non ha allegato alcunché se non il fatto che "la sua libertà di movimento" sarebbe intaccata in modo sproporzionato, non indicando di preciso e in concreto nulla di più (cfr. ricorso, pag. 6 e replica alle osservazioni, pag. 2).</w:t>
      </w:r>
    </w:p>
    <w:p>
      <w:r>
        <w:rPr>
          <w:b/>
        </w:rPr>
        <w:t>E. 7.3</w:t>
      </w:r>
    </w:p>
    <w:p>
      <w:r>
        <w:t>Si osserva infine che, secondo una prassi costante dell'autorità competente, per quanto concerne i provvedimenti amministrativi di durata indeterminata,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In proposito, il Tribunale ha definito le condizioni che uno straniero, contro cui un divieto di entrata di durata indeterminata sul territorio svizzero è stato pronunciato, deve ossequiare al fine di potere essere oggetto di un riesame in ragione del tempo trascorso: ciò è il caso allorquando sono trascorsi 10 anni dall'espiazione della ultima pena detentiva rispettivamente dai delitti perpetrati e nel frattempo alcuna infrazione è stata commessa (cfr. DTAF 2008/24 consid. 6.2, e decisione TAF C-8636/2010, del 19 giugno 2012, consid. 6.3.1). Nella misura in cui la condanna alla pena detentiva risale all'aprile 2012 e che la scarcerazione ed il relativo allontanamento dalla Svizzera datano del 5/6 agosto 2012, non si può ritenere sia trascorso un lasso di tempo sufficiente per poter limitare la durata della misura disposta dall'autorità inferiore.</w:t>
      </w:r>
    </w:p>
    <w:p>
      <w:r>
        <w:rPr>
          <w:b/>
        </w:rPr>
        <w:t>E. 7.4</w:t>
      </w:r>
    </w:p>
    <w:p>
      <w:r>
        <w:t>A fronte di quanto sopra menzionato appare giustificato il provvedimento amministrativo che prevede un divieto d'entrata di durata indeterminata, in particolare alla luce degli importanti reati commessi, delle modalità adottate, e della totale assenza di interessi privati concreti allegati. 8.In queste circostanze e tenuto conto del fatto che la presenza in Svizzera del ricorrente non appare indispensabile, visti i motivi suesposti, il Tribunale constata che il divieto d'entrata pronunciato dall'UFM è fondato. Ne discende che l'autorità di prime cure, con la decisione del 24 maggio 2012, non ha violato il diritto federale, né abusato del suo potere d'apprezzamento; inoltre l'UFM non ha accertato in modo inesatto o incompleto i fatti giuridicamente rilevanti ed inoltre la decisione non è inadeguata (art. 49 PA). Il ricorso deve dunque essere respinto. 9.Visto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