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C-331/2012 vom 13. November 2012</w:t>
      </w:r>
    </w:p>
    <w:p>
      <w:r>
        <w:t>Bundesverwaltungsgericht, 2012-11-13, DE</w:t>
      </w:r>
    </w:p>
    <w:p>
      <w:r>
        <w:rPr>
          <w:b/>
        </w:rPr>
        <w:t xml:space="preserve">Quelle: </w:t>
      </w:r>
      <w:r>
        <w:t>https://mcp.opencaselaw.ch/entscheid/bvger_C-331_2012</w:t>
      </w:r>
    </w:p>
    <w:p>
      <w:r>
        <w:t>FR: TAF C-331/2012 du 13 novembre 2012</w:t>
      </w:r>
    </w:p>
    <w:p>
      <w:r>
        <w:t>IT: TAF C-331/2012 del 13 novembre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des Verwaltungsverfahrensgesetzes vom 20. Dezember 1968 (VwVG, SR 172.021),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grundsätzlich einzutreten (vgl. Art. 50 und 52 VwVG). Auf das Begehren um kontrollierte Einreise für jährlich drei Wochen ist hingegen nicht einzutreten, kann doch Streitgegenstand nur sein, was vom Anfechtungsgegenstand erfasst wird. Diesbezüglich legt die angefochtene Verfügung nichts fest und hatte dies auch nicht zu tun.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Wird gegen eine Person, welche nicht Angehörige eines Staates ist, der durch eines der Schengen-Assoziierungsabkommen (vgl. Anhang 1 Ziffer 1 des Bundesgesetzes vom 16. Dezember 2005 über die Ausländerinnen und Ausländer [AuG, SR 142.20])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3.2</w:t>
      </w:r>
    </w:p>
    <w:p>
      <w:r>
        <w:t>Der Beschwerdeführer ist nicht Bürger eines Schengenstaates, weshalb das fragliche Einreiseverbot im SIS ausgeschrieben wurde (Art. 96 SDÜ). Einer weiteren Begründung der Ausschreibung bedarf es nicht, wie es anscheinend der Beschwerdeführer replikweise geltend macht. Das in Art. 25 SDÜ vorgesehene Konsultationsverfahren regelt, wann der ausschreibende Vertragsstaat die Einreiseverweigerung gegenüber einem Drittstaatsangehörigen im SIS wieder löscht. Dies wäre lediglich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4.1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Gemäss Absatz 2 derselben Bestimmung liegt eine Gefährdung der öffentlichen Sicherheit und Ordnung vor, wenn konkrete Anhaltspunkte dafür bestehen, dass der Aufenthalt der betroffenen Person in der Schweiz mit erheblicher Wahrscheinlichkeit zu einem Verstoss gegen die öffentliche Sicherheit und Ordnung führt. Somit können die vorliegenden Rechtsgüterverletzungen als Teil der objektiven Rechtsordnung ein Einreiseverbot nach sich ziehen, allerdings nicht als Sanktion, sondern als Massnahme zum Schutz künftiger Störungen (vgl. BBl 2002 3813).</w:t>
      </w:r>
    </w:p>
    <w:p>
      <w:r>
        <w:rPr>
          <w:b/>
        </w:rPr>
        <w:t>E. 4.3</w:t>
      </w:r>
    </w:p>
    <w:p>
      <w:r>
        <w:t>Aus den Akten geht hervor, dass der Beschwerdeführer regelmässig mit dem Gesetz in Konflikt kam (vgl. oben Bst. B und D). Zuletzt wurde er wegen Menschenhandels, mehrfacher Vergewaltigung, mehrfacher Förderung der Prostitution, mehrfachen Erleichterns des rechtswidrigen Aufenthalts mit Bereicherungsabsicht und der mehrfachen Beschäftigung von Ausländern ohne Bewilligung zu einer Freiheitsstrafe von 4 Jahren und 6 Monaten, einer Geldstrafe von 30 Tagessätzen zu je Fr. 20.- sowie einer Busse von Fr. 400.- verurteilt (vgl. Urteil des Obergerichts des Kantons Solothurn vom 7. September 2009). Gemäss diesen Feststellungen kann nicht in Abrede gestellt werden, dass der Beschwerdeführer im Sinne von Art. 67 Abs. 2 Bst. a AuG gegen die öffentliche Ordnung und Sicherheit verstossen und damit einen Fernhaltegrund gesetzt hat. Aufgrund der mehrfachen Verurteilungen zu immer schwerwiegenderen Straftaten liegt auch zweifelsfrei eine Gefährdung der öffentlichen Sicherheit und Ordnung vor.</w:t>
      </w:r>
    </w:p>
    <w:p>
      <w:r>
        <w:rPr>
          <w:b/>
        </w:rPr>
        <w:t>E. 5</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5.1</w:t>
      </w:r>
    </w:p>
    <w:p>
      <w:r>
        <w:t>Im Falle des Beschwerdeführers fällt negativ ins Gewicht, dass sein strafrechtlich relevantes Verhalten in der Schweiz über mehrere Jahre hinweg andauerte. Selbst nach Verbüssung einer Gefängnisstrafe in den Jahren 2004 und 2005 (vgl. Urteil des Kriminalgerichts des Kantons Solothurns vom 17. September 2004) und Androhung der Ausweisung am 12. Juli 2006 delinquierte er erneut. Zuletzt wurde er wegen Menschenhandels, mehrfacher Vergewaltigung, mehrfacher Förderung der Prostitution, mehrfachen Erleichterns des rechtswidrigen Aufenthalts mit Bereicherungsabsicht und der mehrfachen Beschäftigung von Ausländern ohne Bewilligung verurteilt. Laut Urteil des Obergerichts des Kantons Solothurn vom 7. September 2009 seien die Motive bei allen miteinander zusammenhängenden Delikten rein egoistisch gewesen. Der Beschwerdeführer habe Frauen missbraucht, um einen möglichst grossen Profit zu erzielen (S. 63). Auch im Strafverfahren habe er sich wenig kooperativ verhalten und weder Einsicht noch Reue gezeigt. Zudem neige er zu Gewälttätigkeit (S. 64). Aufgrund dieser Feststellungen ist daher von einer erheblichen Gefährdung der betroffenen Rechtsgüter aus­zugehen, wobei hier besonders schützenswerte Rechtsgüter auf dem Spiel stehen, die Grundinteressen der Gesellschaft berühren (vgl. BGE 131 II 352 E. 4.3.1 S. 359 f. und BGE 125 II 521 E. 4a/aa S. 526 f.). Somit ist dem öffentlichen Interesse an einer zeitlich befristeten Fernhaltung grosses Gewicht beizumessen.</w:t>
      </w:r>
    </w:p>
    <w:p>
      <w:r>
        <w:rPr>
          <w:b/>
        </w:rPr>
        <w:t>E. 5.2</w:t>
      </w:r>
    </w:p>
    <w:p>
      <w:r>
        <w:t>Der Beschwerdeführer macht in diesem Zusammenhang geltend, er sei seit seiner Verurteilung aus dem Jahr 2009 nicht mehr straffällig geworden und sei nach seiner Entlassung aus dem Strafvollzug bis zu seiner Ausweisung aus der Schweiz einer geregelten Erwerbstätigkeit nachgegangen. Das gegen ihn verhängte Einreiseverbot sei damit unnötig geworden. Mit diesem Vorbringen verkennt der Beschwerdeführer jedoch, dass für die Be­rechnung der Dauer des klaglosen Verhaltens nicht auf den Be­gehungs- oder Urteilszeitpunkt abzustellen ist. Von vorrangiger Be­deutung ist vielmehr, wie lange sich eine straffällig gewordene Person nach ihrer Entlassung aus der Haft in Freiheit bewährt hat (vgl. BVGE 2008/24 E. 6.2). Die bedingte Entlassung des Beschwerdeführers aus dem Strafvollzug erfolgte am 26. November 2010, wobei er seine Strafe ab dem 14. September 2009 in der Vollzugsform des Electronic Monitorings verbüsste. Die Probezeit endete am 20. Mai 2012 (vgl. Verfügung des Departements des Innern des Kantons Solothurns vom 25. November 2010). Mit Blick auf die von ihm ver­letzten Rechtsgüter erweist sich die seit seiner Haftentlassung ab­gelaufene Bewährungszeit mithin als zu kurz, als dass bereits eine grundlegende und gefestigte Wandlung angenommen werden kann (vgl. BGE 130 II 493 E. 5 S. 504). Insbesondere kann auch aus dem Umstand, dass er sich an die Weisungen der Ausländerbehörde gehalten habe, nichts abgeleitet werden, gilt es doch als Selbstverständlichkeit, solche Anordnungen zu befolgen. Zweifel bestehen zudem an seinen Ausführungen, er sei zufolge eines Missgeschicks, welches auf eine ungenügende E-Mail-Adresse zurückzuführen sei, im Februar 2012 ohne formelle Suspensionsverfügung in die Schweiz eingereist (vgl. Sachverhalt Bst. F und Bst. G). Immerhin hätte dem Rechtsvertreter des Beschwerdeführers klar sein müssen, dass eine vorübergehende Aufhebung des Einreiseverbots vom BFM nicht aufgrund eines Telefonats vorgenommen werden kann, sondern dass es dazu zwingend einer formellen Suspensionsverfügung bedarf, zumal er gemäss den vor-instanzlichen Ausführungen noch darauf hingewiesen worden war, die Suspensionsverfügung werde erlassen, sobald die genauen Daten der Ein- und Ausreise bekannt wären (vgl. Vernehmlassung vom 22. März 2012). Ob der Beschwerdeführer denn tatsächlich Willens ist, sich an fremdenpolizeiliche Vorschriften zu halten, muss - entgegen seinen Ausführungen - bezweifelt werden.</w:t>
      </w:r>
    </w:p>
    <w:p>
      <w:r>
        <w:rPr>
          <w:b/>
        </w:rPr>
        <w:t>E. 5.3</w:t>
      </w:r>
    </w:p>
    <w:p>
      <w:r>
        <w:t>An persönlichen Interessen macht der Beschwerdeführer in seiner Rechtsmitteleingabe geltend, das Einreiseverbot schränke sein Familienleben in einer äusserst drastischen Weise ein. Da sein Sohn nierenkrank sei und sich deswegen am 24. Februar 2012 einem operativen Eingriff habe unterziehen müssen, beinhalte die Fernhaltemassnahme einen übermässigen Eingriff in das Familienleben. Auch die Situation seiner Ehefrau, die an Depressionen leide, habe sich verschlechtert. Seine Tochter sei zudem mehrmals in der Schule zusammengebrochen, nachdem seine Ehefrau mit ihr über die Rückreise nach Serbien gesprochen habe. Sie befinde sich weiterhin in psychologischer Behandlung. Die Niederlassungsbewilligung des Beschwerdeführers wurde mit Verfügung des Departements des Innern des Kantons Solothurn vom 12. November 2010 widerrufen (letztinstanzlich bestätigt durch das Urteil des Bundesgerichts 2C_362/2011 vom 11. November 2011). Somit darf sich der Beschwerdeführer derzeit ohnehin nur zu Besuchszwecken in der Schweiz aufhalten. Die Pflege regelmässiger persönlicher Kontakte zu seiner Familie scheitert damit bereits am fehlenden Anwesenheitsrecht, welches vorliegend nicht Verfahrensgegenstand ist (vgl. dazu das Urteil des Bundesverwaltungsgerichts C-4509/2009 vom 7. Januar 2010 E. 7.3 mit Hinweisen). Die Wirkung des Einreiseverbots besteht jedoch nicht darin, dass dem Beschwerdeführer während dessen Geltungsdauer Besuchsaufenthalte bei ihm nahe stehenden Personen in der Schweiz schlichtweg untersagt wären. Es steht ihm - und ist ihm auch bekannt -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Im Übrigen kann er den Kontakt zu seiner Familie in der Schweiz auf andere Weise als durch Besuche in der Schweiz pflegen (Briefverkehr, Telefonate, Videotelefonie). Den geltend gemachten privaten Interessen des Beschwerdeführers kann im dargelegten Rahmen Rechnung getragen werden. Es ist demzufolge nicht ersichtlich, inwiefern das Einreiseverbot, das in erster Linie eine administrative Erschwernis darstellt, einen rechtfertigungsbedürftigen Eingriff in das von Art. 8 der Konvention vom 4. November 1950 zum Schutze der Menschenrechte und Grundfreiheiten (EMRK, SR 0.101) bzw. Art. 13 Abs. 1 der Bundesverfassung der Schweizerischen Eidgenossenschaft vom 18. April 1999 (BV, SR 101) geschützte Familienleben darstellen könnte. Auch aus dem Übereinkommen vom 20. November 1989 über die Rechte des Kindes (Kinderrechtskonvention, SR 0.107) kann vorliegend nichts abgeleitet werden. Im Übrigen wäre, selbst wenn von einem unter dem Gesichtspunkt von Art. 13 Abs. 1 BV und Art. 8 EMRK relevanten Eingriff ausgegangen würde, ein solcher unter den konkreten Begebenheiten gestützt auf Art. 8 Ziff. 2 EMRK als gerechtfertigt zu qualifizieren. Zweifellos erreicht das deliktische Verhalten des Beschwerdeführers auch unter diesem Blickwinkel die erforderliche Schwere, welche ohne weiteres einen Eingriff in das Privat- und Familienleben als gerechtfertigt erscheinen lässt.</w:t>
      </w:r>
    </w:p>
    <w:p>
      <w:r>
        <w:rPr>
          <w:b/>
        </w:rPr>
        <w:t>E. 5.4</w:t>
      </w:r>
    </w:p>
    <w:p>
      <w:r>
        <w:t>Unbeachtlich bleibt im Übrigen auch der Umstand, dass die Familie des Beschwerdeführers - würde sie ihm ins Ausland folgen - eine allfällige Verschlechterung ihrer wirtschaftlichen Verhältnisse in Kauf nehmen müsste. Die Frage der Zumutbarkeit der Rückkehr der Familie des Beschwerdeführer in ihr Heimatland wurde im Verfahren bezüglich Widerrufs der Niederlassungsbewilligung abgehandelt und ist in casu nicht Gegen-stand des Verfahrens (vgl. Verfügung des Departements des Innern des Kantons Solothurn vom 12. November 2010, letztinstanzlich bestätigt durch das Urteil des Bundesgerichts 2C_362/2011 vom 11. November 2011). Vor diesem Hintergrund ist ohne Belang, ob die Ehefrau bezüglich der Ausreise aus der Schweiz lediglich eine theoretische Wahlfreiheit habe, wie es beschwerdeweise geltend gemacht wird.</w:t>
      </w:r>
    </w:p>
    <w:p>
      <w:r>
        <w:rPr>
          <w:b/>
        </w:rPr>
        <w:t>E. 5.5</w:t>
      </w:r>
    </w:p>
    <w:p>
      <w:r>
        <w:t>Zusammenfassend ist festzustellen, dass das auf 10 Jahre befristete Einreiseverbot auch im gegenwärtigen Zeitpunkt unter Berücksichtigung der gängigen Praxis in vergleichbaren Fällen eine verhältnismässige und angemessene Massnahme zum Schutz der öffentlichen Ordnung darstellt.</w:t>
      </w:r>
    </w:p>
    <w:p>
      <w:r>
        <w:rPr>
          <w:b/>
        </w:rPr>
        <w:t>E. 6</w:t>
      </w:r>
    </w:p>
    <w:p>
      <w:r>
        <w:t>Aus diesen Erwägungen ergibt sich, dass die angefochtene Verfügung im Lichte von Art. 49 VwVG nicht zu beanstanden ist. Die Beschwerde ist demzufolge abzuweisen.</w:t>
      </w:r>
    </w:p>
    <w:p>
      <w:r>
        <w:rPr>
          <w:b/>
        </w:rPr>
        <w:t>E. 7</w:t>
      </w:r>
    </w:p>
    <w:p>
      <w:r>
        <w:t>Entsprechend dem Ausgang des Verfahrens wird der unterliegende Beschwerdeführer kostenpflichtig (vgl.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