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C-3319/2015 vom 11. Dezember 2015</w:t>
      </w:r>
    </w:p>
    <w:p>
      <w:r>
        <w:t>Bundesverwaltungsgericht, 2015-12-11, FR</w:t>
      </w:r>
    </w:p>
    <w:p>
      <w:r>
        <w:rPr>
          <w:b/>
        </w:rPr>
        <w:t xml:space="preserve">Quelle: </w:t>
      </w:r>
      <w:r>
        <w:t>https://mcp.opencaselaw.ch/entscheid/bvger_C-3319_2015</w:t>
      </w:r>
    </w:p>
    <w:p>
      <w:r>
        <w:t>FR: TAF C-3319/2015 du 11 décembre 2015</w:t>
      </w:r>
    </w:p>
    <w:p>
      <w:r>
        <w:t>IT: TAF C-3319/2015 del 11 dicembre 2015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 2.La recourante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 Le Tribunal, qui applique d'office le droit fédéral, n'est pas lié par les motifs invoqués à l'appui du recours (art. 62 al. 4 PA), ni par les considérants de la décision attaquée (cf. Moser / Beusch / Kneubühler, Prozessieren vor dem Bundesverwaltungsgericht, 2ème éd. 2013, n° 3.197). Aussi peut-il admettre ou rejeter le pourvoi pour d'autres motifs que ceux invoqués. Dans son arrêt, le Tribunal prend en considération l'état de fait existant au moment où il statue (cf. ATAF 2014/1 consid. 2).</w:t>
      </w:r>
    </w:p>
    <w:p>
      <w:r>
        <w:rPr>
          <w:b/>
        </w:rPr>
        <w:t>E. 3.1</w:t>
      </w:r>
    </w:p>
    <w:p>
      <w:r>
        <w:t>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(cf. Message du Conseil fédéral du 8 mars 2002 concernant la loi sur les étrangers, FF 2002 3469, 3568).</w:t>
      </w:r>
    </w:p>
    <w:p>
      <w:r>
        <w:rPr>
          <w:b/>
        </w:rPr>
        <w:t>E. 3.2.1</w:t>
      </w:r>
    </w:p>
    <w:p>
      <w:r>
        <w:t>Aux termes de l'art. 67 al. 2 LEtr, le SEM peut interdire l'entrée en Suisse à un étranger s'il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w:t>
      </w:r>
    </w:p>
    <w:p>
      <w:r>
        <w:rPr>
          <w:b/>
        </w:rPr>
        <w:t>E. 3.2.2</w:t>
      </w:r>
    </w:p>
    <w:p>
      <w:r>
        <w:t>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FF 2002 3469,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3.3</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w:t>
      </w:r>
    </w:p>
    <w:p>
      <w:r>
        <w:rPr>
          <w:b/>
        </w:rPr>
        <w:t>E. 3.4</w:t>
      </w:r>
    </w:p>
    <w:p>
      <w:r>
        <w:t>Il ressort en particulier de l'art. 24 par. 3 SIS II qu'un signalement peut être introduit lorsque la décision visée à l'art. 24 par. 1 SIS II est fondée sur le fait que le ressortissant d'un pays tiers a fait l'objet d'une mesure d'éloignement, de renvoi ou d'expulsion qui n'a pas été abrogée ni suspendue et qui comporte ou est assortie d'une interdiction d'entrée, ou, le cas échéant, de séjour, fondée sur le non respect des réglementations nationales relatives à l'entrée ou au séjour des ressortissants de pays tiers.</w:t>
      </w:r>
    </w:p>
    <w:p>
      <w:r>
        <w:rPr>
          <w:b/>
        </w:rPr>
        <w:t>E. 3.5</w:t>
      </w:r>
    </w:p>
    <w:p>
      <w:r>
        <w:t>Le signalement dans le SIS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13 par. 1, en relation avec l'art. 5 par. 4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ATAF 2014/20 consid. 4 et arrêt du TAF C 2178/2013 du 9 avril 2014 consid. 3.2, et la jurisprudence citée).</w:t>
      </w:r>
    </w:p>
    <w:p>
      <w:r>
        <w:rPr>
          <w:b/>
        </w:rPr>
        <w:t>E. 4.1</w:t>
      </w:r>
    </w:p>
    <w:p>
      <w:r>
        <w:t>Dans le cas d'espèce, le Tribunal constate que A._______ n'est pas une ressortissante de l'un des Etats parties aux accords d'association à Schengen et qu'elle a commis des infractions aux prescriptions régissant la durée du séjour dans l'Espace Schengen, motif pour lequel elle a fait l'objet d'une mesure d'éloignement en application de l'art. 67 LEtr. L'inscription de son signalement au SIS est à cet égard expressément prévue dans ce cas de figure à l'art. 21, en relation avec l'art. 24 al. 3 du règlement SIS II, et est apte et nécessaire pour atteindre les buts visés, à savoir protéger l'ordre et la sécurité publics et ce dans l'intérêt de tous les Etats parties aux accords d'association Schengen.</w:t>
      </w:r>
    </w:p>
    <w:p>
      <w:r>
        <w:rPr>
          <w:b/>
        </w:rPr>
        <w:t>E. 4.2</w:t>
      </w:r>
    </w:p>
    <w:p>
      <w:r>
        <w:t>Concernant l'intérêt privé de la recourante, celui-ci réside dans le fait que son signalement dans le SIS lui interdit, en l'état, de pénétrer dans l'Espace Schengen, alors qu'elle a épousé un ressortissant espagnol le 11 avril 2015 au Paraguay.</w:t>
      </w:r>
    </w:p>
    <w:p>
      <w:r>
        <w:rPr>
          <w:b/>
        </w:rPr>
        <w:t>E. 4.3</w:t>
      </w:r>
    </w:p>
    <w:p>
      <w:r>
        <w:t>A l'intérêt privé de la recourante à pouvoir entrer dans l'Espace Schengen, il y a lieu d'opposer l'intérêt public à son éloignement. Or, à ce sujet, il appartient à la Suisse de respecter la législation Schengen et dans le champ d'application des règles de Schengen, la Suisse se doit de préserver les intérêts de tous les Etats parties aux accords d'association à Schengen (cf. ATAF 2011/48 consid. 6.1).</w:t>
      </w:r>
    </w:p>
    <w:p>
      <w:r>
        <w:rPr>
          <w:b/>
        </w:rPr>
        <w:t>E. 4.4</w:t>
      </w:r>
    </w:p>
    <w:p>
      <w:r>
        <w:t>Dans ce contexte, il demeure toutefois de la compétence des Etats membres d'autoriser la personne concernée à entrer sur leur territoire (respectivement à lui délivrer un titre de séjour) pour des motifs sérieux, d'ordre humanitaire, d'intérêt national ou résultant d'obligations internationales (cf. art. 25 par. 1 CAAS). Selon cette disposition, si le titre de séjour est délivré, la partie contractante signalante procède alors au retrait du signalement, mais peut cependant inscrire cet étranger sur sa liste nationale de signalement. En conséquence, il appartient à la recourante, si elle entend s'établir en Espagne auprès de son époux, de solliciter une autorisation de séjour auprès des autorités espagnoles, démarches dont elle n'a toutefois pas informé le Tribunal à ce jour, malgré l'invitation expresse qui lui en a été faite le 6 juillet 2015.</w:t>
      </w:r>
    </w:p>
    <w:p>
      <w:r>
        <w:rPr>
          <w:b/>
        </w:rPr>
        <w:t>E. 4.5</w:t>
      </w:r>
    </w:p>
    <w:p>
      <w:r>
        <w:t>Le Tribunal est dès lors amené à la conclusion, au regard des faits retenus à la charge de la recourante, que son signalement au SIS satisfait au principe de proportionnalité (cf. art. 21 du règlement SIS II) et que c'est donc de manière fondée que le SEM a procédé à son inscription au SIS dans la décision d'interdiction d'entrée qu'il a prononcée à son endroit. 5.Il ressort de ce qui précède que la décision du SEM du 26 février 2015 est conforme au droit. Le recours est en conséquence rejeté. Vu l'issue de la cause, les frais de procédure sont mis à la charge de la recourante (art. 63 al. 1 PA, en relation avec les art. 1 à 3 du règlement du Tribunal administratif fédéral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