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C-3318/2014 vom 14. November 2014</w:t>
      </w:r>
    </w:p>
    <w:p>
      <w:r>
        <w:t>Bundesverwaltungsgericht, 2014-11-14, DE</w:t>
      </w:r>
    </w:p>
    <w:p>
      <w:r>
        <w:rPr>
          <w:b/>
        </w:rPr>
        <w:t xml:space="preserve">Quelle: </w:t>
      </w:r>
      <w:r>
        <w:t>https://mcp.opencaselaw.ch/entscheid/bvger_C-3318_2014</w:t>
      </w:r>
    </w:p>
    <w:p>
      <w:r>
        <w:t>FR: TAF C-3318/2014 du 14 novembre 2014</w:t>
      </w:r>
    </w:p>
    <w:p>
      <w:r>
        <w:t>IT: TAF C-3318/2014 del 14 novembre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kosovarischen Staatsangehörigen um Erteilung eines Visums für einen 90-tägigen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Gesuchsteller als kosovarischer Staatsangehöriger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Einzelfalles zu würdigen. Anhaltspunkte zur Beurteilung der Gewähr für eine fristgerechte Wiederausreise können sich auch aus der allgemeinen Situation im Herkunftsland der Besucherin oder des Besuchers ergeben. Namentlich bei Einreisegesuchen von Personen aus Staaten bzw. Regionen mit politisch oder wirtschaftlich ungünstigen Verhält­nissen rechtfertigt sich eine kritische Prüfung bzw. eine strenge Praxis, da die persön­liche Interessenlage in solchen Fällen häufig nicht mit dem Ziel und Zweck einer zeitlich befristeten Einreisebewilligung in Einklang steht (vgl. Urteile des BVGer C-3777/2012 vom 28. Januar 2013 E. 5.2 sowie C 4142/2010 vom 15. August 2011 E. 7.2).</w:t>
      </w:r>
    </w:p>
    <w:p>
      <w:r>
        <w:rPr>
          <w:b/>
        </w:rPr>
        <w:t>E. 5.3</w:t>
      </w:r>
    </w:p>
    <w:p>
      <w:r>
        <w:t>Dass im Heimatland des Gesuchstellers grosse Teile der Bevölkerung von wirtschaftlich ungünstigen Verhältnissen betroffen sind, kann nicht in Abrede gestellt werden. Das Bruttoinlandprodukt (BIP) je Einwohner im Kosovo lag 2013 nach Schätzung des Internationalen Währungsfonds (IWF) bei 2'794 Euro, das BIP insgesamt bei etwas über 5 Mrd. Euro. Damit bleibt Kosovo das ärmste Land auf dem Balkan. Die Einkommensverhältnisse bewegen sich auf konstant tiefem Niveau (das monatliche Durchschnittseinkommen lag 2011 bei ca. 300 Euro) und die Hälfte aller Einwohner lebt an oder unter der Armutsgrenze. Überweisungen aus dem Ausland stellen eine wichtige Einkommensquelle und damit einen bedeutenden Wirtschaftsfaktor dar (Quellen: Deutsches Auswärtiges Amt, www.auswaertiges-amt.de &gt; Aussen- und Europapolitik &gt; Länderinformationen &gt; Kosovo &gt; Wirtschaftspolitik, Stand: September 2014; UNDP Kosovo Human Development Report 2014, www.kosovo.undp.org &gt; Research &amp; Publications &gt; Human Development &gt; Kosovo Human Development Report 2014, beide Websites besucht im Oktober 2014; vgl. auch Urteil des BVGer C-2108/2012 vom 26. März 2014 E. 5.3 m.H.). Auf entsprechend hohem Niveau bewegt sich der Anteil derer, die sich zur Emigration entschliessen. Besteht im Ausland bereits ein soziales Beziehungsnetz von Verwandten oder Freunden, so begünstigt dies die Tendenz, sich dort unter besseren Lebensbedingungen eine (neue) Existenz aufzubauen. Vor diesem Hintergrund ist es naheliegend, dass Familienangehörige oftmals versuchen, auch ihre Eltern oder Grosseltern, für welche sie sich verantwortlich fühlen, in die Schweiz nachzuziehen. Dies insbesondere dann, wenn diese - altersbedingt ohne berufliche Verpflichtungen - alleine im Heimatstaat zurückbleiben und/oder aus gesundheitlichen Gründen nicht mehr für sich selbst sorgen können.</w:t>
      </w:r>
    </w:p>
    <w:p>
      <w:r>
        <w:rPr>
          <w:b/>
        </w:rPr>
        <w:t>E. 5.4</w:t>
      </w:r>
    </w:p>
    <w:p>
      <w:r>
        <w:t>Bei der Risikoanalyse sind aber nicht nur solch allgemeine Umstände und Erfahrungen, sondern auch, wie oben ausgeführt, sämtliche Gesichts­punkte des konkreten Einzelfalles zu berücksichtigen. Obliegt einer gesuchstellenden Person im Heimatland beispielsweise eine besondere berufliche, gesellschaftliche oder familiäre Verantwortung, kann dies die Prognose für eine anstandslose Wiederausreise begünstigen (vgl. Urteil des BVGer C-2785/2012 vom 17. Juli 2013 E. 6.4).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Beim Gesuchsteller handelt es sich um einen 82-jährigen, verwitweten Mann, der im eigenen Haus im Kosovo leben soll und offenbar noch nie ins Ausland gereist ist. Zu den familiären Verhältnissen wurden von den Beteiligten weder im Gesuchsverfahren noch auf Beschwerdeebene nähere Angaben gemacht, sondern lediglich angeführt, der eingeladene Grossvater sei unabhängig. Gemäss den (unwidersprochen gebliebenen) Feststellungen der Schweizer Vertretung in Pristina lebt der Eingeladene allein im Kosovo (vgl. auch die vom Gesuchsteller zuhanden der Visumsbehörden unterzeichnete Erklärung vom 5. Februar 2014 ["Declaration on joint household"]), wonach keine weiteren Familienangehörigen im selben Haushalt lebten). Es sind daher keine sozialen oder familiären Verpflichtungen ersichtlich, welche besondere Gewähr für eine Rückkehr des Gesuchstellers ins Heimatland bieten könnten. Tritt hinzu, dass in Situationen angespannter wirtschaftlicher und/oder politischer Verhältnisse selbst zurückbleibende nahe Angehörige regelmässig nicht verlässlich davon abhalten können, den Entscheid für eine Emigration zu fällen. Zudem dürfte der Gesuchsteller - als Rentner - kaum in wirtschaftlich günstigen Verhältnissen leben, die das Risiko einer nicht fristgerechten Wiederausreise nach einem Besuchsaufenthalt in der Schweiz entscheidend herabsetzen könnte. Die Schweizerische Botschaft in Pristina hielt diesbezüglich fest, der Eingeladene habe keinen Nachweis über seine finanziellen Mittel erbringen können.</w:t>
      </w:r>
    </w:p>
    <w:p>
      <w:r>
        <w:rPr>
          <w:b/>
        </w:rPr>
        <w:t>E. 6.2</w:t>
      </w:r>
    </w:p>
    <w:p>
      <w:r>
        <w:t>Demgegenüber verfügt der Gesuchsteller mit seinen hierzulande lebenden Angehörigen, bei denen es sich um seine Grosskinder handeln dürfte, über enge Bezugspersonen in der Schweiz (vgl. Stellungnahme der Beschwerdeführerin vom 16. April 2014). In diesem Zusammenhang gilt es insbesondere dem Umstand Rechnung zu tragen, dass offenbar sämtliche Familienangehörige des Gesuchstellers ihr Heimatland definitiv verlassen haben und in die Schweiz (oder in andere Länder Westeuropas) übersiedelt sind, woraus auf einen konkreten Migrationswillen im nächsten Umfeld des Ein­geladenen ge­schlossen werden kann. Vor diesem Hintergrund müssen die Be­teuerungen auf Beschwerdeebene, dieser werde die Schweiz nach seinem dreimonatigen Besuchsaufenthalt fristgerecht wie­der ver­lassen, als nicht ausschlaggebend bezeich­net werden.</w:t>
      </w:r>
    </w:p>
    <w:p>
      <w:r>
        <w:rPr>
          <w:b/>
        </w:rPr>
        <w:t>E. 6.3</w:t>
      </w:r>
    </w:p>
    <w:p>
      <w:r>
        <w:t>Nicht zuletzt altersbedingte gesundheitliche Probleme, aber auch die misslichen Verhältnisse im Heimat­land bergen ein erhöhtes Risiko in sich, der seit letzten Dezember verwitwete Gesuchsteller könnte nach ei­nem mehrmonatigen Aufenthalt in der Schweiz geneigt sein, den Lebens­abend doch noch im Umfeld seiner in der Schweiz lebenden nächsten Angehö­rigen zu verbringen oder sich über die be­antragte Visumsdauer hinaus hierzulande aufzuhalten. Insofern könnten gewisse Fest­setzungs­tendenzen bestehen und demzufolge begründete Zweifel am deklarierten Aufenthaltszweck (Besuchsaufenthalt; vgl. Art. 16 i.V.m. Art. 12 Abs. 2 Bst. c in fine VEV) berechtigt sein.</w:t>
      </w:r>
    </w:p>
    <w:p>
      <w:r>
        <w:rPr>
          <w:b/>
        </w:rPr>
        <w:t>E. 6.4</w:t>
      </w:r>
    </w:p>
    <w:p>
      <w:r>
        <w:t>Vor dem allgemeinen und persönlichen Hintergrund konnte die Vorinstanz demnach willkürfrei davon ausgehen, dass keine hinreichende Gewähr für eine fristgerechte und anstandslose Wiederausreise des Eingeladenen nach einem Besuchsaufenthalt besteht. An dieser Einschätzung vermögen auch die gegenteiligen Zusicherungen der Gastgeberin und Beschwerdeführerin nichts zu ändern. Als solche kann sie mit rechtlich verbindlicher Wirkung zwar für gewisse finanzielle Risiken im Zusammenhang mit dem Besuchsaufenthalt, nicht aber für ein bestimmtes Tun oder Unterlassen ihres Gastes einstehen (vgl. in diesem Zusammenhang BVGE 2009/27 E. 9). Der (durchaus verständliche) Wunsch der Beschwerdeführerin, ihrem im Kosovo lebenden Grossvater das Lebensumfeld in der Schweiz zeigen zu können, hat somit in den Hintergrund zu treten.</w:t>
      </w:r>
    </w:p>
    <w:p>
      <w:r>
        <w:rPr>
          <w:b/>
        </w:rPr>
        <w:t>E. 7.1</w:t>
      </w:r>
    </w:p>
    <w:p>
      <w:r>
        <w:t>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7.2</w:t>
      </w:r>
    </w:p>
    <w:p>
      <w:r>
        <w:t>Zwar stellt der persönliche Kontakt zwischen dem Eingeladen und der Gastgeberin und ihrer Familie eine grundsätzlich unter den Schutz von Art. 8 EMRK sowie Art. 13 Abs. 1 BV fallende familiäre Beziehung dar, auch wenn es sich nicht um die sog. "Kernfamilie" (Eltern und ihre minderjährigen Kinder) handelt. Das vermag jedoch zu keinem anderen Resultat zu führen. Denn nur Beeinträchtigungen des Familienlebens von gewisser Mindestschwere stellen rechtfertigungsbedürftige Eingriffe in die genannten Garantien dar. Ob diese Mindestschwere im vorliegenden Fall erreicht wird, erscheint unter den gegebenen Umständen als fraglich; immerhin wäre der hierzulande eingebürgerten Beschwerdeführerin auch eine Reise in ihr ursprüngliches Heimatland zuzumuten, was ebenso für die übrigen, in der Schweiz lebenden Grosskinder des Gesuchstellers gelten muss, welche alle zumindest über eine Niederlassungsbewilligung verfügen. Doch auch wenn dem so sein sollte, handelte es sich nur um einen eher untergeordneten Eingriff in das Familienleben, der durch die auf dem Spiel stehenden öffentlichen Interessen gerechtfertigt ist (Art. 8 Ziff. 2 EMRK und Art. 36 BV; vgl. Urteil des BGer 2C_190/2011 vom 23. November 2011 E. 4.3.1 sowie Urteil des BVGer C-1821/2014 vom 2. Juli 2014 E. 8.1).</w:t>
      </w:r>
    </w:p>
    <w:p>
      <w:r>
        <w:rPr>
          <w:b/>
        </w:rPr>
        <w:t>E. 7.3</w:t>
      </w:r>
    </w:p>
    <w:p>
      <w:r>
        <w:t>Die geltend gemachten privaten Interessen rechtfertigen solchermassen auch nicht, ein Visum mit räumlich beschränkter Gültigkeit auszustellen.</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der Beschwerdeführerin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