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C-3316/2021 vom 12. Juli 2021</w:t>
      </w:r>
    </w:p>
    <w:p>
      <w:r>
        <w:t>Bundesverwaltungsgericht, 2021-07-12, DE</w:t>
      </w:r>
    </w:p>
    <w:p>
      <w:r>
        <w:rPr>
          <w:b/>
        </w:rPr>
        <w:t xml:space="preserve">Quelle: </w:t>
      </w:r>
      <w:r>
        <w:t>https://mcp.opencaselaw.ch/entscheid/bvger_C-3316_2021_d20210712</w:t>
      </w:r>
    </w:p>
    <w:p>
      <w:r>
        <w:t>FR: TAF C-3316/2021 du 12 juillet 2021</w:t>
      </w:r>
    </w:p>
    <w:p>
      <w:r>
        <w:t>IT: TAF C-3316/2021 del 12 luglio 2021</w:t>
      </w:r>
    </w:p>
    <w:p>
      <w:pPr>
        <w:pStyle w:val="Heading2"/>
      </w:pPr>
      <w:r>
        <w:t>Regeste</w:t>
      </w:r>
    </w:p>
    <w:p>
      <w:r>
        <w:t>Zwangsanschluss an die Auffangeinrichtung | BVG, Zwangsanschluss, Verfügung vom 12. Juli 2021</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 gen gehören jene der Auffangeinrichtung im Bereich der beruflichen Vor- sorge, zumal diese öffentlich-rechtliche Aufgaben des Bundes erfüllt (Art. 33 Bst. h VGG i.V.m. Art. 60 Abs. 2bis des Bundesgesetzes vom 25. Juni 1982 über die berufliche Alters-, Hinterlassenen- und Invalidenvor- sorge [BVG, SR 831.40]). Eine Ausnahme, was das Sachgebiet angeht, ist vorliegend nicht gegeben (Art. 32 VGG). Das Bundesverwaltungsgericht ist somit zur Beurteilung der Beschwerde zuständig.</w:t>
      </w:r>
    </w:p>
    <w:p>
      <w:r>
        <w:t>C-3316/2021 Seite 5</w:t>
      </w:r>
    </w:p>
    <w:p>
      <w:r>
        <w:rPr>
          <w:b/>
        </w:rPr>
        <w:t>E. 1.2</w:t>
      </w:r>
    </w:p>
    <w:p>
      <w:r>
        <w:t>Der Verwaltungsakt der Vorinstanz vom 12. Juli 2021 stellt eine Verfü- gung im Sinne von Art. 5 Abs. 1 VwVG dar. Als Adressatin ist die Beschwer- deführerin durch die angefochtene Verfügung besonders berührt und hat ein schutzwürdiges Interesse an deren Änderung oder Aufhebung, so dass sie zur Beschwerde legitimiert ist (Art. 48 Abs. 1 Bst. a bis c VwVG).</w:t>
      </w:r>
    </w:p>
    <w:p>
      <w:r>
        <w:rPr>
          <w:b/>
        </w:rPr>
        <w:t>E. 1.3.1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(ANDREA PFLEIDERER, in: Wald- mann/Weissenberger [Hrsg.], Praxiskommentar VwVG, 2. Aufl. 2016, Art. 58 Rz. 44 und 46 m.w.H.; Urteile des Bundesverwaltungsgerichts [BVGer] A-856/2018 vom 25. Oktober 2018 E. 1.2.1 und C-6111/2010 vom 11. September 2014 E. 1.1.2).</w:t>
      </w:r>
    </w:p>
    <w:p>
      <w:r>
        <w:rPr>
          <w:b/>
        </w:rPr>
        <w:t>E. 1.3.2</w:t>
      </w:r>
    </w:p>
    <w:p>
      <w:r>
        <w:t>Vorliegend ist das Verfahren im Hauptpunkt, namentlich hinsichtlich des Zwangsanschlusses, als durch Wiedererwägung gegenstandslos ge- worden abzuschreiben, nachdem dieser mit Wiedererwägungsverfügung vom 15. Oktober 2021 aufgehoben worden ist (vgl. oben Bst. B.c). Die Ver- fügung vom 15. Oktober 2021 entspricht jedoch nicht vollständig dem An- trag der Beschwerdeführerin, welche die vollumfängliche Aufhebung der angefochtenen Verfügung inklusive aller Kostenfolgen beantragt hat. Na- mentlich hinsichtlich der Kostenauflage bleibt die Sache strittig. Das Still- schweigen der Beschwerdeführerin in dieser Sache nach Erlass der Wie- dererwägungsverfügung und Zustellung der Vernehmlassung der Vor- instanz kann im Übrigen nicht als Beschwerderückzug betrachtet werden (vgl. BGE 119 V 38 E. 1b m.w.H. sowie Urteil des BVGer A-5030/2016 vom 16. November 2016). Somit bleibt vorliegend über die Kostenauflage zu entscheiden.</w:t>
      </w:r>
    </w:p>
    <w:p>
      <w:r>
        <w:rPr>
          <w:b/>
        </w:rPr>
        <w:t>E. 1.3.3</w:t>
      </w:r>
    </w:p>
    <w:p>
      <w:r>
        <w:t>Die Kostenauflage wurde (im Dispositiv) in der ursprünglichen Verfü- gung vom 12. Juli 2021 nicht ausdrücklich verfügt. Es ergibt sich jedoch aus den Erwägungen und dem Kostenreglement, auf welches im Dispositiv in Ziffer II verwiesen wird, dass der Beschwerdeführerin Fr. 450.- für die</w:t>
      </w:r>
    </w:p>
    <w:p>
      <w:r>
        <w:t>C-3316/2021 Seite 6 Verfügung sowie Fr. 50.- pro versicherte Person und Fr. 575.- für die Durchführung des Zwangsanschlusses in Rechnung gestellt werden soll- ten. Vorliegend hat die Vorinstanz mit ihrer Wiedererwägungsverfügung vom 15. Oktober 2021 die Verfügung vom 12. Juli 2021 insgesamt aufge- hoben (Ziff. 1) und die Kosten dieser Verfügung in der Höhe von Fr. 450.- sowie die Kosten für die Wiedererwägungsverfügung von Fr. 450.- der Beschwerdeführerin auferlegt (Ziff. 2). Somit bilden die ver- fügten Kosten von insgesamt Fr. 900.- den Streitgegenstand im vorliegen- den Verfahren.</w:t>
      </w:r>
    </w:p>
    <w:p>
      <w:r>
        <w:rPr>
          <w:b/>
        </w:rPr>
        <w:t>E. 1.4</w:t>
      </w:r>
    </w:p>
    <w:p>
      <w:r>
        <w:t>Nachdem die Beschwerdeführerin am 17. Juli 2021 frist- und formge- recht (Art. 50 und 52 VwVG) Beschwerde erhoben und auch den einver- langte Kostenvorschuss in der Höhe von Fr. 800.- fristgerecht geleistet hat (BVGer-act. 4), ist auf die Beschwerde einzutreten.</w:t>
      </w:r>
    </w:p>
    <w:p>
      <w:r>
        <w:rPr>
          <w:b/>
        </w:rPr>
        <w:t>E. 2.1</w:t>
      </w:r>
    </w:p>
    <w:p>
      <w:r>
        <w:t>Das Verfahren vor dem Bundesverwaltungsgericht richtet sich gemäss Art. 37 VGG grundsätzlich nach dem VwVG, soweit das VGG nichts ande- res bestimmt.</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 weislast sowie in die Regeln der Sachabklärung und Beweiserhebung mit richterlichen Obliegenheiten und Mitwirkungspflichten der Parteien. Es ver- hält sich dabei so, dass die Verfahrensbeteiligten die mit der Sache be- fasste Instanz in ihrer aktiven Rolle zu unterstützen haben, indem sie das</w:t>
      </w:r>
    </w:p>
    <w:p>
      <w:r>
        <w:t>C-3316/2021 Seite 7 ihrige zur Ermittlung des Sachverhaltes beitragen, unabhängig von der Geltung des Untersuchungsgrundsatzes (zum Ganzen: ANDRÉ MOSER/MI- CHAEL BEUSCH/LORENZ KNEUBÜHLER/MARTIN KAYSER, Prozessieren vor dem Bundesverwaltungsgericht, 3. Aufl. 2022, Rz. 1.49 f. m.w.H.). Die Be- schwerdeinstanz ist jedenfalls nicht verpflichtet, über die tatsächlichen Vor- bringen der Parteien hinaus den Sachverhalt vollkommen neu zu erfor- schen (BGE 122 V 157 E. 1a; BGE 121 V 204 E. 6c; BVGE 2007/27 E. 3.3; vgl. Urteile des Bundesverwaltungsgerichts [BVGer] A-5832/2016 vom 18. April 2017 E. 1.6.1, A-1746/2016 vom 17. Januar 2017 E. 1.4; MO- SER/BEUSCH/KNEUBÜHLER/KAYSER, a.a.O., Rz. 1.55).</w:t>
      </w:r>
    </w:p>
    <w:p>
      <w:r>
        <w:rPr>
          <w:b/>
        </w:rPr>
        <w:t>E. 2.5</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(BGE 130 II 482 E. 3.2; vgl. Urteil des BVGer A-6660/2011 vom 29. Mai 2012 E. 4.2.1; MOSER/BEUSCH/KNEUBÜHLER/KAYSER, a.a.O., Rz. 3.140). Gelangt das Gericht gestützt auf die freie Beweiswürdigung nicht zum Er- 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Zivilgesetzbuches vom 10. Dezember 1907 [ZGB, SR 210]). Bei Beweislosigkeit ist folglich zu Un- gunsten derjenigen Person zu entscheiden, welche die Beweislast trägt (vgl. Urteile des BVGer A-5063/2017 vom 21. März 2018 E. 1.4.2, A- 5832/2016 E. 1.6.2, m.w.H.; MOSER/BEUSCH/KNEUBÜHLER/KAYSER, a.a.O., Rz. 3.149 ff.).</w:t>
      </w:r>
    </w:p>
    <w:p>
      <w:r>
        <w:rPr>
          <w:b/>
        </w:rPr>
        <w:t>E. 3</w:t>
      </w:r>
    </w:p>
    <w:p>
      <w:r>
        <w:t>Zu prüfen bleibt demnach, ob die Vorinstanz der Beschwerdeführerin die Kosten in der Höhe von Fr. 900.- (vgl. oben E. 1.3.3) zu Recht auferlegt hat.</w:t>
      </w:r>
    </w:p>
    <w:p>
      <w:r>
        <w:rPr>
          <w:b/>
        </w:rPr>
        <w:t>E. 3.1</w:t>
      </w:r>
    </w:p>
    <w:p>
      <w:r>
        <w:t>Gemäss Art. 11 Abs. 7 BVG stellen die Auffangeinrichtung und die AHV-Ausgleichskasse der säumigen Arbeitgeberin den von ihr verursach- ten Verwaltungsaufwand in Rechnung. Dies wird auch in Art. 3 Abs. 4 der Verordnung vom 28. August 1985 über die Ansprüche der Auffangeinrich- tung der beruflichen Vorsorge (SR 831.434) erwähnt, wonach die</w:t>
      </w:r>
    </w:p>
    <w:p>
      <w:r>
        <w:t>C-3316/2021 Seite 8 Arbeitgeberin der Auffangeinrichtung alle Aufwendungen zu ersetzen hat, die dieser im Zusammenhang mit seinem Anschluss entstehen. Detailliert geregelt sind die entsprechenden Kosten sodann im Kostenreglement der Auffangeinrichtung (gültig ab 1. Januar 2021; &lt;https://web.aeis.ch/DE/sta- tic_pages/69/Vorsorgereglemente&gt;, zuletzt besucht am 16. Februar 2023). Dieses Reglement bildet auch im vorliegenden Fall integrierenden Be- standteil der Zwangsanschlussverfügung. Es sieht gemäss Art. 2 Abs. 2 Bst. a und b betreffend Verfügung und Durchführung Zwangsanschluss Kosten von Fr. 1’025.- (Fr. 450.- plus Fr. 575.-) vor. Weiter werden die Kos- ten für eine Wiedererwägungsverfügung auf Fr. 450.- beziffert (vgl. Art. 2 Abs. 2 Bst. c des Reglements). Eine Auferlegung der Kosten für die Zwangsanschlussverfügung ist dann gerechtfertigt, wenn der Zwangsan- schluss im Zeitpunkt des Erlasses der Verfügung der Vorinstanz vom 12. Juli 2021 nach der damaligen Sach- und Rechtslage zu Recht ange- ordnet wurde (vgl. Urteile des BVGer C-2659/2020 vom 8. Oktober 2020 und A-6747/2016 vom 9. Mai 2017 E. 4).</w:t>
      </w:r>
    </w:p>
    <w:p>
      <w:r>
        <w:t>In diesem Zusammenhang ist insbesondere auf die prozessuale Mitwir- kungspflicht der Arbeitgeberin im Zwangsanschlussverfahren gemäss der bundesverwaltungsgerichtlichen Rechtsprechung im Urteil A-5849/2018 vom 11. April 2019 in Erwägung 3.2.1 zu verweisen: Diese Pflicht gilt ins- besondere für jene Umstände, die eine Partei besser kennt als die Behörde und welche diese ohne die Mitwirkung der Partei nicht oder nicht mit ver- nünftigem Aufwand erheben könnte. Sie gebietet ferner, dass eine Partei die Behörde von sich aus informiert, wenn während eines hängigen Ver- fahrens eine rechtswesentliche Änderung des Sachverhalts eintritt, von der die Behörde ansonsten keine Kenntnis erhalten würde. Bei passivem Ver- halten darf sich die Behörde darauf verlassen, dass die vormals erteilten Auskünfte nach wie vor der Realität entsprechen. Das konkrete Ausmass der Mitwirkungspflicht richtet sich nach dem Grundsatz der Verhältnismäs- sigkeit, mithin nach der Zumutbarkeit im Einzelfall und kann von der ver- fahrensleitenden Behörde im Rahmen der Instruktion definiert werden, bei- spielsweise durch die Aufforderung, bestimmte Fragen zu beantworten oder Unterlagen einzureichen (AUER/BINDER in: Auer/Müller/Schindler [Hrsg.], Kommentar zum Bundesgesetz über das Verwaltungsverfahren, 2. Aufl. 2019, Art. 13 Rz. 4 f. und Rz. 7 je mit Hinweisen auf die bundesge- richtliche Rechtsprechung, insbesondere auf BGE 132 II 113 E. 3.2). Dies ergibt sich auch aus der Beweisführungslast, welche trotzdem bei der Be- hörde bleibt: Sie hat demnach die Verfahrensbeteiligten darüber aufzuklä- ren, worin ihre Mitwirkungspflicht besteht und welche Tragweite ihr zu- kommt. Dementsprechend hat sie die Parteien darüber zu informieren,</w:t>
      </w:r>
    </w:p>
    <w:p>
      <w:r>
        <w:t>C-3316/2021 Seite 9 welche Beweismittel sie im Einzelnen beizubringen haben (AUER/BINDER, a.a.O., Art. 13 Rz. 15 m.H.).</w:t>
      </w:r>
    </w:p>
    <w:p>
      <w:r>
        <w:rPr>
          <w:b/>
        </w:rPr>
        <w:t>E. 3.2</w:t>
      </w:r>
    </w:p>
    <w:p>
      <w:r>
        <w:t>Die Beschwerdeführerin beantragt sinngemäss die Aufhebung des Zwangsanschlusses inklusive Kostenfolgen und führt zur Begründung aus, sie verfüge seit dem 6. Juli 2021, rückwirkend per 1. Februar 2020 über einen Anschluss an eine Pensionskasse. Mit Schreiben vom 30. März 2021 habe ihr die Vorinstanz eine Frist bis zum 8. Juni 2021 angesetzt, welche sie mit Eingabe vom 21. Mai 2021 eingehalten habe, woraufhin ihr die Vorinstanz erst am 7. Juni 2021 – und ohne die Frist vom 8. Juni 2021 zu verlängern – wieder geantwortet habe. Es sei offensichtlich, dass zwischen dem 7. Juni 2021 und dem 8. Juni 2021 kein Anschlussvertrag habe abge- schlossen werden können. Am 6. Juli 2021 sei schliesslich der Anschluss an die Vorsorgestiftung D._______ erfolgt und am 12. Juli 2021 der Zwangsanschluss an die Vorinstanz (BVGer-act. 1). Demgegenüber ist die Vorinstanz der Auffassung, der Erlass der Verfügung vom 12. Juli 2021 hätte durch die Beschwerdeführerin womöglich verhindert werden können, indem diese entweder nach der Stellungnahme der Vorinstanz vom 7. Juni 2021 über den bevorstehenden Vertragsabschluss mit der D._______ Pen- sionskasse informiert oder aber eine Fristerstreckung verlangt hätte (BVGer-act. 8; vgl. auch oben Bst. B.d).</w:t>
      </w:r>
    </w:p>
    <w:p>
      <w:r>
        <w:rPr>
          <w:b/>
        </w:rPr>
        <w:t>E. 3.3</w:t>
      </w:r>
    </w:p>
    <w:p>
      <w:r>
        <w:t>Aus den Akten geht hervor, dass die Beschwerdeführerin auf das Schreiben der Ausgleichskasse vom 13. Januar 2021 nicht reagiert hat (BVGer-act. 8 Beilage 1.2), woraufhin jene am 17. März 2021 die Vor- instanz informierte (BVGer-act. 8 Beilage 1.1). Die Vorinstanz ihrerseits hat der Beschwerdeführerin am 30. März 2021 das rechtliche Gehör gewährt und eine Frist zur Einreichung von Nachweisen angesetzt sowie im Unter- lassungsfall den Zwangsanschluss angedroht (BVGer-act. 8 Beilage 2). Am 21. Mai 2021 meldete sich die Beschwerdeführerin schriftlich bei der Vorinstanz und führte aus, eine Anschlusspflicht entfalle im vorliegenden Fall (BVGer-act. 8 Beilage 3). Nach weiteren Abklärungen hat die Vor- instanz der Beschwerdeführerin mit Schreiben vom 7. Juni 2021 mitgeteilt, es bestehe dennoch weiterhin eine Anschlusspflicht und es werde am ge- währten rechtlichen Gehör festgehalten (BVGer-act. 8 Beilage 4). In der Folge bemühte sich die Beschwerdeführerin zwar um einen Anschluss, welcher effektiv auch am 6. Juli 2021 zustande kam (BVGer-act. 1 Beilage 1), unterliess es jedoch, der Vorinstanz ihre Bemühungen anzuzeigen und/oder um eine Erstreckung der angesetzten Frist bis zum 8. Juni 2021 zu ersuchen. Auch reichte sie den Anschlussvertrag nicht umgehend nach dessen Abschluss bei der Vorinstanz ein. Die Vorinstanz hat im Übrigen</w:t>
      </w:r>
    </w:p>
    <w:p>
      <w:r>
        <w:t>C-3316/2021 Seite 10 über einen Monat über die angesetzte Frist hinaus abgewartet, bevor sie die Verfügung vom 12. Juli 2021 erlassen hat (BVGer-act. 1 Beilage 8).</w:t>
      </w:r>
    </w:p>
    <w:p>
      <w:r>
        <w:t>Im Zeitpunkt der angefochtenen Verfügung lag der Vorinstanz somit kein Nachweis über einen erfolgten Anschluss an eine Vorsorgeeinrichtung oder eine andere Information vor, als dass die Beschwerdeführerin am 21. Mai 2021 die Auffassung vertrat, es bestehe kein Grund für einen An- schluss an eine Vorsorgeeinrichtung. Dies hat die Beschwerdeführerin zu vertreten, weil sie im vorliegenden Fall ihren prozessualen Mitwirkungs- pflichten nicht ausreichend nachgekommen ist (vgl. dazu oben E. 3.1 zwei- ter Absatz). Die Vorinstanz durfte daher nach vorgängiger Androhung ge- stützt auf diese Sach- und Rechtslage zum damaligen Zeitpunkt zu Recht einen Zwangsanschluss verfügen. Vor diesem Hintergrund erweist es sich als gerechtfertigt, dass die Vorinstanz der Beschwerdeführerin die regle- mentskonformen und im Sinne eines Entgegenkommens der Vorinstanz bereits reduzierten Kosten (vgl. dazu oben Bst. B.c) der Verfügung vom 12. Juli 2021 und der Wiedererwägungsverfügung vom 15. Oktober 2021 von insgesamt Fr. 900.- auferlegt hat. Die Beschwerde ist somit abzuwei- sen, soweit sie nicht gegenstandslos geworden ist.</w:t>
      </w:r>
    </w:p>
    <w:p>
      <w:r>
        <w:rPr>
          <w:b/>
        </w:rPr>
        <w:t>E. 4</w:t>
      </w:r>
    </w:p>
    <w:p>
      <w:r>
        <w:t>Zu befinden bleibt über die Verfahrenskosten und eine allfällige Parteient- schädigung.</w:t>
      </w:r>
    </w:p>
    <w:p>
      <w:r>
        <w:rPr>
          <w:b/>
        </w:rPr>
        <w:t>E. 4.1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VGKE des Reglements vom 21. Februar 2008 über die Kosten und Entschädigungen vor dem Bundesverwaltungsgericht [VGKE; SR 173.320.2]).</w:t>
      </w:r>
    </w:p>
    <w:p>
      <w:r>
        <w:t>Da die Beschwerdeführerin durch ihr Verhalten die Gegenstandslosigkeit bewirkt hat, wird sie diesbezüglich kostenpflichtig. Im streitig gebliebenen Kostenpunkt unterliegt die Beschwerdeführerin, weshalb sie diesbezüglich ebenfalls Verfahrenskosten zu tragen hat. Die Verfahrenskosten sind auf Fr. 800.- festzusetzen und der Beschwerdeführerin aufzuerlegen. Der ge- leistete Kostenvorschuss in der Höhe von 800.- ist zur Bezahlung der Ver- fahrenskosten zu verwenden.</w:t>
      </w:r>
    </w:p>
    <w:p>
      <w:r>
        <w:t>C-3316/2021 Seite 11</w:t>
      </w:r>
    </w:p>
    <w:p>
      <w:r>
        <w:rPr>
          <w:b/>
        </w:rPr>
        <w:t>E. 4.2</w:t>
      </w:r>
    </w:p>
    <w:p>
      <w:r>
        <w:t>Weder der unterliegenden (nicht anwaltlich) vertretenen Beschwerde- führerin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