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C-3313/2013 vom 4. Februar 2015</w:t>
      </w:r>
    </w:p>
    <w:p>
      <w:r>
        <w:t>Bundesverwaltungsgericht, 2015-02-04, FR</w:t>
      </w:r>
    </w:p>
    <w:p>
      <w:r>
        <w:rPr>
          <w:b/>
        </w:rPr>
        <w:t xml:space="preserve">Quelle: </w:t>
      </w:r>
      <w:r>
        <w:t>https://mcp.opencaselaw.ch/entscheid/bvger_C-3313_2013</w:t>
      </w:r>
    </w:p>
    <w:p>
      <w:r>
        <w:t>FR: TAF C-3313/2013 du 4 février 2015</w:t>
      </w:r>
    </w:p>
    <w:p>
      <w:r>
        <w:t>IT: TAF C-3313/2013 del 4 febbraio 2015</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3ème édition, 2013, n° 710;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3.4</w:t>
      </w:r>
    </w:p>
    <w:p>
      <w:r>
        <w:t>Dans le cas particulier, l'instance inférieure est entrée en matière sur la demande de réexamen de A._______, en considérant que la naissance du deuxième enfant des époux A._______ et B._______ constituait effectivement une modification notable des circonstances. Il appartient dès lors au Tribunal d'examiner si c'est à bon droit que l'autorité inférieure a rejeté la demande de reconsidération du prénommé, en estimant que l'évolution de sa situation familiale n'était pas suffisamment importante pour justifier le réexamen de la décision du 24 juin 2009. Dans cette analyse, il conviendra par ailleurs de tenir compte de la jurisprudence récente du Tribunal fédéral relative au droit à l'obtention d'une (nouvelle) autorisation de séjour malgré l'existence d'un motif de révocation (cf. l'arrêt du Tribunal fédéral 2C_1224/2013 du 12 décembre 2014 consid. 5).</w:t>
      </w:r>
    </w:p>
    <w:p>
      <w:r>
        <w:rPr>
          <w:b/>
        </w:rPr>
        <w:t>E. 4</w:t>
      </w:r>
    </w:p>
    <w:p>
      <w:r>
        <w:t>A l'appui de sa demande de reconsidération du 29 avril 2013, A._______ a en particulier fait valoir que sa conjointe attendait un deuxième enfant et qu'il s'agissait à nouveau d'une grossesse à haut risque. L'intéressé s'est en outre prévalu de l'arrêt de la CourEDH dans l'affaire Udeh c. la Suisse pour conclure à l'octroi d'une autorisation de séjour en sa faveur.</w:t>
      </w:r>
    </w:p>
    <w:p>
      <w:r>
        <w:rPr>
          <w:b/>
        </w:rPr>
        <w:t>E. 4.1</w:t>
      </w:r>
    </w:p>
    <w:p>
      <w:r>
        <w:t>S'agissant de l'évolution de la situation familiale du recourant, le Tribunal constate en premier lieu que D._______, le second enfant des époux A._______ et B._______, est née le 21 juillet 2013 et est en bonne santé (cf. le certificat médical de la pédiatre du 16 septembre 2014). Cela étant, compte tenu du contexte particulier dans lequel s'inscrit la naissance de D._______ et en particulier des problèmes médicaux chroniques dont souffre C._______, l'on ne saurait minimiser l'impact qu'est susceptible d'engendrer la naissance d'un deuxième enfant sur la situation de la famille dans son ensemble, et cela quand bien même cet enfant est en bonne santé. A ce propos, il sied de rappeler ici que C._______, la première fille des époux A._______ et B._______, est née en forte prématurité quatorze semaines avant le terme et pesait 490g après la naissance. Elle a aujourd'hui cinq ans et souffre encore de problèmes médicaux chroniques. Certes, les graves problèmes de santé de C._______ ont déjà été pris en considération dans le cadre de la procédure ordinaire de renouvellement de l'autorisation de séjour du recourant close par arrêt du Tribunal fédéral du 30 août 2011. Le Tribunal estime cependant que l'on ne saurait faire abstraction de l'état de santé de C._______ et des soins continus qu'elle requiert lorsqu'on examine l'incidence qu'est susceptible d'avoir la naissance de la deuxième fille sur la situation familiale de l'intéressé.</w:t>
      </w:r>
    </w:p>
    <w:p>
      <w:r>
        <w:rPr>
          <w:b/>
        </w:rPr>
        <w:t>E. 4.2</w:t>
      </w:r>
    </w:p>
    <w:p>
      <w:r>
        <w:t>Il sied dès lors de prendre en considération le fait que C._______ est atteinte de diverses affections médicales liées à sa naissance prématurée. Elle est notamment impotente, présente un retard psychomoteur ainsi qu'un gros retard de langage et a besoin de soins quotidiens, ainsi que d'une prise en charge médicale à raison de cinq séances par semaine (cf. les certificats médicaux du 5 août 2013 et du 16 septembre 2014). A ce sujet, il convient de noter que dans son attestation du 5 août 2013, la pédiatre a relevé que les soins quotidiens nécessités par C._______ lui étaient fournis par ses parents, en soulignant que la charge de ces soins ne pouvait être supportée par la mère seule. Il ressort par ailleurs du dernier certificat médical de la pédiatre de C._______ que le recourant s'implique également dans les prises en charge logopédiques et psychologiques de sa fille (cf. le certificat médical du 16 septembre 2014). En outre, la pédiatre et la logopédiste de C._______, ainsi que le médecin traitant et le gynécologue de B._______ ont tous insisté sur le fait que la présence de A._______ était capitale pour garantir la prise en charge médicale et le bon développement de C._______, ainsi que pour permettre à son épouse de maintenir son équilibre psychologique. C'est ici le lieu de rappeler que si B._______ est en bonne santé actuellement (cf. le certificat médical de son médecin traitant du 8 septembre 2014), elle a toutefois souffert de problèmes psychologiques dans le passé (cf. notamment son courrier du 12 novembre 2011). En outre, selon le certificat médical de son médecin traitant du 8 septembre 2014, "l'amélioration notable constatée dans l'état de santé de B._______ est indissociable du soutien de son époux" et "sans la présence de ce dernier, B._______ n'aurait sans aucun doute pas pu retrouver son équilibre psychologique, ce qui aurait certainement eu des conséquences néfastes notables également sur ses filles".</w:t>
      </w:r>
    </w:p>
    <w:p>
      <w:r>
        <w:rPr>
          <w:b/>
        </w:rPr>
        <w:t>E. 4.3</w:t>
      </w:r>
    </w:p>
    <w:p>
      <w:r>
        <w:t>Compte tenu des éléments qui précèdent, le Tribunal estime que l'autorité intimée a sous-estimé l'impact qu'est susceptible d'avoir la naissance de D._______ sur la situation de la famille dans son ensemble. Le Tribunal considère en effet qu'eu égard aux soins continus requis par C._______, l'on ne saurait difficilement attendre de B._______ qu'elle supporte seule la charge de ses deux enfants. En outre, même si B._______ pouvait éventuellement compter sur l'aide de sa famille, voire solliciter un soutien professionnel, il n'en demeurerait pas moins que le fait qu'elle soit contrainte de prendre un deuxième enfant en charge sans qu'elle puisse s'appuyer sur le soutien de son mari est susceptible d'avoir des conséquences préjudiciables sur le développement de ses filles, ainsi que sur la stabilité de son propre état de santé. Dans ces conditions, il convient de retenir qu'en raison de la naissance de D._______, l'intérêt privé du recourant et des siens à la poursuite de son séjour en Suisse est devenu encore plus important qu'il ne l'était déjà suite à la naissance prématurée de C._______.</w:t>
      </w:r>
    </w:p>
    <w:p>
      <w:r>
        <w:rPr>
          <w:b/>
        </w:rPr>
        <w:t>E. 4.4</w:t>
      </w:r>
    </w:p>
    <w:p>
      <w:r>
        <w:t>En outre, le Tribunal ne saurait faire abstraction du fait que l'intérêt public à l'éloignement de A._______ de Suisse ne revêt plus la même importance qu'au moment du prononcé de la décision dont le réexamen est demandé. Afin de déterminer si l'évolution de la situation familiale du recourant est suffisamment importante pour justifier le réexamen de la décision de l'ODM du 24 juin 2009, le Tribunal se doit en effet également d'examiner l'importance de l'intérêt public actuel à l'éloignement de l'intéressé de Suisse (cf. l'arrêt du Tribunal fédéral 2C_1224/2013 consid. 5.1.1).</w:t>
      </w:r>
    </w:p>
    <w:p>
      <w:r>
        <w:rPr>
          <w:b/>
        </w:rPr>
        <w:t>E. 4.5</w:t>
      </w:r>
    </w:p>
    <w:p>
      <w:r>
        <w:t>A ce sujet, le Tribunal observe en premier lieu que compte tenu de la lourde condamnation pénale dont l'intéressé a fait l'objet le 11 juillet 2007, il existe toujours un intérêt public important à son éloignement de Suisse. En outre, il sied également de noter que par ordonnance pénale du 23 juin 2014, le Ministère public du canton de Genève a condamné A._______ à une peine pécuniaire de 60 jours-amende à 50 francs, avec sursis pendant trois ans, ainsi qu'à une amende de 1350 francs pour circulation en état d'ébriété et violation des obligations en cas d'accident. Enfin, il y a lieu de relever que depuis son renvoi du territoire helvétique, A._______ est régulièrement revenu en Suisse sans autorisation (cf. la demande de réexamen du 29 avril 2013). Il a par ailleurs séjourné illégalement sur le sol helvétique durant plusieurs mois, jusqu'à ce qu'il soit autorisé, par décision du Tribunal de céans du 18 septembre 2013, à demeurer en Suisse jusqu'à droit connu sur la présente procédure de recours.</w:t>
      </w:r>
    </w:p>
    <w:p>
      <w:r>
        <w:rPr>
          <w:b/>
        </w:rPr>
        <w:t>E. 4.6</w:t>
      </w:r>
    </w:p>
    <w:p>
      <w:r>
        <w:t>Cela étant, force est également de constater que les faits qui ont donné lieu à la condamnation du 11 juillet 2007 remontent à 2006. Il s'est donc écoulé plus de huit ans depuis la commission, par l'intéressé, d'infractions à la LStup. En outre, si le recourant n'a certes pas fait preuve d'un comportement irréprochable depuis sa sortie de prison, le Tribunal estime tout de même que le risque de récidive peut être qualifié de faible. A ce propos, il y a notamment lieu de rappeler que dans son jugement du 11 juillet 2007, la Cour correctionnelle de la République et canton de Genève avait déjà retenu que dans le contexte de sa mise en liberté provisoire, le recourant avait fourni des efforts permettant de penser qu'il avait pris conscience de la gravité de ses actes et de la nécessité de subvenir à ses besoins par des moyens licites. Cette appréciation a ensuite été corroborée par le fait que le recourant n'a pas récidivé en matière d'infractions à la LStup, qu'il a fait preuve d'une réintégration professionnelle réussie et qu'il constitue un soutien important pour sa famille. Il sied également de noter ici que suite à sa libération, l'intéressé a effectué un apprentissage en qualité de peintre en bâtiments et a obtenu son attestation de formation professionnelle en date du 30 juin 2010. Depuis octobre 2013, le recourant travaille de nouveau pour l'entreprise auprès de laquelle il a effectué son apprentissage. Il est au bénéfice d'un contrat de durée indéterminée et son employeur est entièrement satisfait de son travail (cf. le certificat de travail du 23 septembre 2014). En outre, cet emploi lui procure un salaire mensuel brut de 4'900 francs (cf. le formulaire de demande d'autorisation de séjour du 16 septembre 2013). Si le Tribunal ne saurait certes pas faire abstraction de la condamnation pénale dont l'intéressé a fait l'objet le 23 juin 2014 et du fait qu'il est régulièrement revenu en Suisse sans être au bénéfice d'une autorisation idoine, il ne saurait cependant accorder une importance prépondérante à ces infractions, compte tenu notamment de la situation familiale de A._______ et de l'absence de gravité suffisante de ces actes au regard de l'art. 63 al. 1 let. a et b LEtr (à ce sujet, cf. par exemple MARC SPESCHA, in: Spescha et al., Migrationsrecht, 3ème édition, 2012, ad art. 63 n° 10 et Silvia Hunziker, in : Caroni et al., Bundesgesetz über die Ausländerinnen und Ausländer [AuG], 2010, ad art. 63 n° 19 et les références citées).</w:t>
      </w:r>
    </w:p>
    <w:p>
      <w:r>
        <w:rPr>
          <w:b/>
        </w:rPr>
        <w:t>E. 4.7</w:t>
      </w:r>
    </w:p>
    <w:p>
      <w:r>
        <w:t>Dans ces circonstances, procédant à une pondération de l'ensemble des éléments de la présente cause, le Tribunal est amené à conclure que bien qu'il s'agisse d'un cas limite, compte tenu du contexte particulier dans lequel elle s'inscrit, la naissance du deuxième enfant des époux A._______ et B._______ justifie le réexamen de la décision de l'ODM du 24 juin 2009. Le Tribunal estime en effet que si en l'occurrence, il ne s'est certes pas écoulé cinq ans depuis l'entrée en force de la décision mettant fin au titre de séjour du recourant, une nouvelle pesée des intérêts publics et privés en présence se justifie toutefois en raison de l'évolution de la situation familiale du recourant (cf. l'arrêt du Tribunal fédéral 2C_1224/2013 consid. 5.1.2).</w:t>
      </w:r>
    </w:p>
    <w:p>
      <w:r>
        <w:rPr>
          <w:b/>
        </w:rPr>
        <w:t>E. 4.8</w:t>
      </w:r>
    </w:p>
    <w:p>
      <w:r>
        <w:t>Cela étant, il sied de relever ici que si le comportement du recourant devait donner lieu à de nouvelles condamnations pénales, les autorités compétentes pourraient être amenées à refuser de prolonger son autorisation de séjour en Suisse.</w:t>
      </w:r>
    </w:p>
    <w:p>
      <w:r>
        <w:rPr>
          <w:b/>
        </w:rPr>
        <w:t>E. 5</w:t>
      </w:r>
    </w:p>
    <w:p>
      <w:r>
        <w:t>A toutes fins utiles, il convient encore de noter que la portée de l'arrêt rendu par la CourEDH dans l'affaire Udeh c. Suisse a été fortement relativisée par le Tribunal fédéral (cf. notamment l'arrêt ATF 139 I 325 consid. 2.4). Par surabondance, selon la jurisprudence constante du Tribunal fédéral, une modification ultérieure de la pratique ou de la jurisprudence ne constitue en règle générale pas une raison suffisante pour réexaminer une décision (à titre d'exemple, cf. l'arrêt du Tribunal fédéral 2C_1010/2011 du 31 janvier 2012 consid. 2.2 et les références citées). Les développements que le recourant a consacrés au sujet de cet arrêt ne sont donc pas déterminants pour l'issue de la présente cause.</w:t>
      </w:r>
    </w:p>
    <w:p>
      <w:r>
        <w:rPr>
          <w:b/>
        </w:rPr>
        <w:t>E. 6</w:t>
      </w:r>
    </w:p>
    <w:p>
      <w:r>
        <w:t>Le recours est en conséquence admis, la décision de l'ODM du 8 mai 2013 est annulée et la demande de réexamen du 29 avril 2013 est admise. Statuant lui-même, le Tribunal octroie l'approbation requise à l'octroi d'une autorisation de séjour en faveur de A._______.</w:t>
      </w:r>
    </w:p>
    <w:p>
      <w:r>
        <w:rPr>
          <w:b/>
        </w:rPr>
        <w:t>E. 7</w:t>
      </w:r>
    </w:p>
    <w:p>
      <w:r>
        <w:t>Vu l'issue de la cause, il n'est pas perçu de frais de procédure (cf. art. 63 al. 1 et 2 PA en relation avec les art. 1 à 3 du règlement du 21 février 2008 concernant les frais, dépens et indemnités fixés par le Tribunal administratif fédéral [FITAF, RS 173.320.2]). Le recourant a par ailleurs droit à des dépens pour les frais nécessaires et relativement élevés causés par le litige (art. 7 FITAF). En l'absence de décompte de prestations, le Tribunal fixe l'indemnité sur la base du dossier (art. 14 al. 1 et 2 en lien avec l'art. 10 al. 2 FITAF). Au vu de l'ensemble des circonstances du cas, de l'importance de l'affaire, du degré de difficulté de cette dernière, de l'ampleur du travail accompli par la mandataire et du tarif applicable in casu, le Tribunal estime, au regard des art. 8 ss FITAF, que le versement d'un montant global de 900 francs (TVA comprise) à titre de dépens au recourant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